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7" w:rsidRPr="00251ACC" w:rsidRDefault="009D1D46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Датум: </w:t>
      </w:r>
      <w:r w:rsidR="00E417D5">
        <w:rPr>
          <w:lang w:val="sr-Latn-RS"/>
        </w:rPr>
        <w:t>25.04.2023</w:t>
      </w:r>
    </w:p>
    <w:p w:rsidR="009D1D46" w:rsidRPr="00E417D5" w:rsidRDefault="009D1D46" w:rsidP="00251ACC">
      <w:pPr>
        <w:spacing w:line="276" w:lineRule="auto"/>
        <w:jc w:val="both"/>
      </w:pPr>
      <w:r w:rsidRPr="00251ACC">
        <w:rPr>
          <w:lang w:val="sr-Cyrl-RS"/>
        </w:rPr>
        <w:t>Број: 01-1/</w:t>
      </w:r>
      <w:r w:rsidR="00E417D5">
        <w:t>1363</w:t>
      </w:r>
    </w:p>
    <w:p w:rsidR="009D1D46" w:rsidRPr="00251ACC" w:rsidRDefault="009D1D46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</w:t>
      </w:r>
      <w:r w:rsidR="00805576" w:rsidRPr="00251ACC">
        <w:rPr>
          <w:lang w:val="sr-Cyrl-RS"/>
        </w:rPr>
        <w:t>27</w:t>
      </w:r>
      <w:r w:rsidRPr="00251ACC">
        <w:rPr>
          <w:lang w:val="sr-Cyrl-RS"/>
        </w:rPr>
        <w:t>.</w:t>
      </w:r>
      <w:r w:rsidR="00805576" w:rsidRPr="00251ACC">
        <w:rPr>
          <w:lang w:val="sr-Cyrl-RS"/>
        </w:rPr>
        <w:t>, став 1</w:t>
      </w:r>
      <w:r w:rsidRPr="00251ACC">
        <w:rPr>
          <w:lang w:val="sr-Cyrl-RS"/>
        </w:rPr>
        <w:t xml:space="preserve"> </w:t>
      </w:r>
      <w:r w:rsidR="00805576" w:rsidRPr="00251ACC">
        <w:rPr>
          <w:lang w:val="sr-Cyrl-RS"/>
        </w:rPr>
        <w:t xml:space="preserve">Закона о јавним набавкама </w:t>
      </w:r>
      <w:r w:rsidR="009707F9">
        <w:rPr>
          <w:lang w:val="sr-Cyrl-RS"/>
        </w:rPr>
        <w:t xml:space="preserve"> и члана 75. (прилог 7) </w:t>
      </w:r>
      <w:r w:rsidR="00805576"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="00805576"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</w:t>
      </w:r>
      <w:r w:rsidR="00805576" w:rsidRPr="00251ACC">
        <w:rPr>
          <w:lang w:val="sr-Cyrl-RS"/>
        </w:rPr>
        <w:t>, а због обезбеђивања основних начела јавних набавки</w:t>
      </w:r>
      <w:r w:rsidR="009D1D46" w:rsidRPr="00251ACC">
        <w:rPr>
          <w:lang w:val="sr-Cyrl-RS"/>
        </w:rPr>
        <w:t xml:space="preserve"> и закључења уговора</w:t>
      </w:r>
      <w:r w:rsidR="00805576" w:rsidRPr="00251ACC">
        <w:rPr>
          <w:lang w:val="sr-Cyrl-RS"/>
        </w:rPr>
        <w:t xml:space="preserve">, </w:t>
      </w:r>
      <w:r w:rsidRPr="00251ACC">
        <w:rPr>
          <w:lang w:val="sr-Cyrl-RS"/>
        </w:rPr>
        <w:t xml:space="preserve"> Факултет инжењерских наука Универзитета у Крагујевцу, дана </w:t>
      </w:r>
      <w:r w:rsidR="00E417D5">
        <w:rPr>
          <w:b/>
        </w:rPr>
        <w:t>25.04.2023</w:t>
      </w:r>
      <w:r w:rsidRPr="00251ACC">
        <w:rPr>
          <w:lang w:val="sr-Cyrl-RS"/>
        </w:rPr>
        <w:t>. објављује:</w:t>
      </w: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</w:p>
    <w:p w:rsidR="00CA6AAB" w:rsidRPr="00251ACC" w:rsidRDefault="00CA6AAB" w:rsidP="00251ACC">
      <w:pPr>
        <w:spacing w:line="276" w:lineRule="auto"/>
        <w:jc w:val="both"/>
        <w:rPr>
          <w:b/>
          <w:lang w:val="sr-Cyrl-RS"/>
        </w:rPr>
      </w:pPr>
    </w:p>
    <w:p w:rsidR="00BC5BCF" w:rsidRPr="00251ACC" w:rsidRDefault="00BC5BCF" w:rsidP="00251ACC">
      <w:pPr>
        <w:spacing w:line="276" w:lineRule="auto"/>
        <w:ind w:left="720"/>
        <w:jc w:val="both"/>
        <w:rPr>
          <w:b/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:rsidR="00BC5BCF" w:rsidRPr="00251ACC" w:rsidRDefault="00BC5BCF" w:rsidP="00251ACC">
      <w:pPr>
        <w:pStyle w:val="ListParagraph"/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>: http://www.</w:t>
      </w:r>
      <w:r w:rsidR="00805576" w:rsidRPr="00251ACC">
        <w:rPr>
          <w:lang w:val="sr-Cyrl-RS"/>
        </w:rPr>
        <w:t>fink</w:t>
      </w:r>
      <w:r w:rsidRPr="00251ACC">
        <w:rPr>
          <w:lang w:val="sr-Cyrl-RS"/>
        </w:rPr>
        <w:t xml:space="preserve">.rs/ </w:t>
      </w:r>
    </w:p>
    <w:p w:rsidR="00E922FC" w:rsidRPr="00251ACC" w:rsidRDefault="00E922FC" w:rsidP="00251ACC">
      <w:pPr>
        <w:spacing w:line="276" w:lineRule="auto"/>
        <w:jc w:val="both"/>
        <w:rPr>
          <w:b/>
          <w:lang w:val="sr-Cyrl-RS"/>
        </w:rPr>
      </w:pPr>
    </w:p>
    <w:p w:rsidR="008C0088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 xml:space="preserve">: </w:t>
      </w:r>
      <w:r w:rsidR="00E922FC" w:rsidRPr="00251ACC">
        <w:rPr>
          <w:lang w:val="sr-Cyrl-RS"/>
        </w:rPr>
        <w:t xml:space="preserve">Предмет набавке је набавка </w:t>
      </w:r>
      <w:r w:rsidR="00251ACC" w:rsidRPr="00251ACC">
        <w:rPr>
          <w:lang w:val="sr-Cyrl-RS"/>
        </w:rPr>
        <w:t xml:space="preserve">услуга </w:t>
      </w:r>
      <w:r w:rsidR="00E922FC" w:rsidRPr="00251ACC">
        <w:rPr>
          <w:lang w:val="sr-Cyrl-RS"/>
        </w:rPr>
        <w:t xml:space="preserve"> – </w:t>
      </w:r>
      <w:r w:rsidR="00E417D5">
        <w:rPr>
          <w:lang w:val="sr-Cyrl-RS"/>
        </w:rPr>
        <w:t>смештај студената на Машинијади</w:t>
      </w:r>
    </w:p>
    <w:p w:rsidR="00251ACC" w:rsidRPr="00251ACC" w:rsidRDefault="00251ACC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 xml:space="preserve">Шифра из општег речника: </w:t>
      </w:r>
    </w:p>
    <w:p w:rsidR="00251ACC" w:rsidRDefault="009707F9" w:rsidP="00251AC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</w:t>
      </w:r>
      <w:r w:rsidR="00251ACC" w:rsidRPr="00251ACC">
        <w:rPr>
          <w:lang w:val="sr-Cyrl-RS"/>
        </w:rPr>
        <w:t>: 55100000-4 – Услуге хотелског смештаја</w:t>
      </w:r>
    </w:p>
    <w:p w:rsidR="00E83E71" w:rsidRDefault="00E83E71" w:rsidP="00E83E71">
      <w:pPr>
        <w:spacing w:line="276" w:lineRule="auto"/>
        <w:jc w:val="both"/>
        <w:rPr>
          <w:lang w:val="sr-Cyrl-RS"/>
        </w:rPr>
      </w:pPr>
    </w:p>
    <w:p w:rsidR="00E83E71" w:rsidRDefault="00E417D5" w:rsidP="00E83E71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83E71">
        <w:rPr>
          <w:lang w:val="sr-Cyrl-RS"/>
        </w:rPr>
        <w:t xml:space="preserve">Процењена вредност набавке је </w:t>
      </w:r>
      <w:r>
        <w:rPr>
          <w:lang w:val="sr-Cyrl-RS"/>
        </w:rPr>
        <w:t>990.000,00 динара без ПДВ-а</w:t>
      </w:r>
      <w:r w:rsidR="00C76589">
        <w:rPr>
          <w:lang w:val="sr-Cyrl-RS"/>
        </w:rPr>
        <w:t xml:space="preserve"> и набавка је предвиђена планом јавних набавки за 2023 годину.</w:t>
      </w:r>
    </w:p>
    <w:p w:rsidR="00E417D5" w:rsidRPr="00E83E71" w:rsidRDefault="00E417D5" w:rsidP="00E83E71">
      <w:pPr>
        <w:spacing w:line="276" w:lineRule="auto"/>
        <w:jc w:val="both"/>
        <w:rPr>
          <w:b/>
          <w:lang w:val="sr-Cyrl-RS"/>
        </w:rPr>
      </w:pPr>
    </w:p>
    <w:p w:rsidR="00E922FC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 xml:space="preserve">Начин подношења </w:t>
      </w:r>
      <w:r w:rsidR="008C0088" w:rsidRPr="00251ACC">
        <w:rPr>
          <w:b/>
          <w:lang w:val="sr-Cyrl-RS"/>
        </w:rPr>
        <w:t>понуда</w:t>
      </w:r>
      <w:r w:rsidRPr="00251ACC">
        <w:rPr>
          <w:b/>
          <w:lang w:val="sr-Cyrl-RS"/>
        </w:rPr>
        <w:t xml:space="preserve"> и рок за подношење </w:t>
      </w:r>
      <w:r w:rsidR="008C0088" w:rsidRPr="00251ACC">
        <w:rPr>
          <w:b/>
          <w:lang w:val="sr-Cyrl-RS"/>
        </w:rPr>
        <w:t>понуда</w:t>
      </w:r>
      <w:r w:rsidRPr="00251ACC">
        <w:rPr>
          <w:lang w:val="sr-Cyrl-RS"/>
        </w:rPr>
        <w:t>:. Благовременим ће се сматрати све понуде које</w:t>
      </w:r>
      <w:r w:rsidR="0070017C" w:rsidRPr="00251ACC">
        <w:rPr>
          <w:lang w:val="sr-Cyrl-RS"/>
        </w:rPr>
        <w:t xml:space="preserve"> стигну на </w:t>
      </w:r>
      <w:r w:rsidR="00E417D5">
        <w:rPr>
          <w:lang w:val="sr-Cyrl-RS"/>
        </w:rPr>
        <w:t xml:space="preserve">маил </w:t>
      </w:r>
      <w:r w:rsidR="0070017C" w:rsidRPr="00251ACC">
        <w:rPr>
          <w:lang w:val="sr-Cyrl-RS"/>
        </w:rPr>
        <w:t>адресу наручиоца</w:t>
      </w:r>
      <w:r w:rsidR="00415C7E">
        <w:rPr>
          <w:lang w:val="sr-Cyrl-RS"/>
        </w:rPr>
        <w:t xml:space="preserve"> </w:t>
      </w:r>
      <w:r w:rsidR="00415C7E">
        <w:rPr>
          <w:lang w:val="sr-Latn-RS"/>
        </w:rPr>
        <w:t>marija.brkic@fink.rs</w:t>
      </w:r>
      <w:r w:rsidR="0070017C" w:rsidRPr="00251ACC">
        <w:rPr>
          <w:lang w:val="sr-Cyrl-RS"/>
        </w:rPr>
        <w:t xml:space="preserve"> до </w:t>
      </w:r>
      <w:r w:rsidR="00E417D5">
        <w:rPr>
          <w:b/>
          <w:lang w:val="sr-Cyrl-RS"/>
        </w:rPr>
        <w:t>3.05.2023</w:t>
      </w:r>
      <w:r w:rsidRPr="00251ACC">
        <w:rPr>
          <w:b/>
          <w:lang w:val="sr-Cyrl-RS"/>
        </w:rPr>
        <w:t xml:space="preserve">. године до </w:t>
      </w:r>
      <w:r w:rsidR="00E417D5">
        <w:rPr>
          <w:b/>
          <w:lang w:val="sr-Cyrl-RS"/>
        </w:rPr>
        <w:t>1</w:t>
      </w:r>
      <w:r w:rsidR="00C76589">
        <w:rPr>
          <w:b/>
          <w:lang w:val="sr-Cyrl-RS"/>
        </w:rPr>
        <w:t>5</w:t>
      </w:r>
      <w:r w:rsidR="00251ACC" w:rsidRPr="00251ACC">
        <w:rPr>
          <w:b/>
          <w:lang w:val="sr-Cyrl-RS"/>
        </w:rPr>
        <w:t>.00</w:t>
      </w:r>
      <w:r w:rsidRPr="00251ACC">
        <w:rPr>
          <w:b/>
          <w:lang w:val="sr-Cyrl-RS"/>
        </w:rPr>
        <w:t xml:space="preserve"> часова. </w:t>
      </w:r>
    </w:p>
    <w:p w:rsidR="00BC5BCF" w:rsidRPr="00251ACC" w:rsidRDefault="00BC5BCF" w:rsidP="00415C7E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</w:t>
      </w:r>
      <w:r w:rsidR="00805576" w:rsidRPr="00251ACC">
        <w:rPr>
          <w:lang w:val="sr-Cyrl-RS"/>
        </w:rPr>
        <w:t xml:space="preserve">се </w:t>
      </w:r>
      <w:r w:rsidR="00415C7E">
        <w:rPr>
          <w:b/>
          <w:lang w:val="sr-Latn-RS"/>
        </w:rPr>
        <w:t>3.05.2023</w:t>
      </w:r>
      <w:r w:rsidRPr="00251ACC">
        <w:rPr>
          <w:b/>
          <w:lang w:val="sr-Cyrl-RS"/>
        </w:rPr>
        <w:t xml:space="preserve"> у </w:t>
      </w:r>
      <w:r w:rsidR="00E83E71">
        <w:rPr>
          <w:b/>
        </w:rPr>
        <w:t>1</w:t>
      </w:r>
      <w:r w:rsidR="00C76589">
        <w:rPr>
          <w:b/>
          <w:lang w:val="sr-Cyrl-RS"/>
        </w:rPr>
        <w:t>5</w:t>
      </w:r>
      <w:bookmarkStart w:id="0" w:name="_GoBack"/>
      <w:bookmarkEnd w:id="0"/>
      <w:r w:rsidR="00E83E71">
        <w:rPr>
          <w:b/>
        </w:rPr>
        <w:t>.</w:t>
      </w:r>
      <w:r w:rsidR="00E83E71">
        <w:rPr>
          <w:b/>
          <w:lang w:val="sr-Cyrl-RS"/>
        </w:rPr>
        <w:t>05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:rsidR="00805576" w:rsidRPr="00251ACC" w:rsidRDefault="00805576" w:rsidP="00251ACC">
      <w:pPr>
        <w:spacing w:line="276" w:lineRule="auto"/>
        <w:jc w:val="both"/>
        <w:rPr>
          <w:lang w:val="sr-Cyrl-RS"/>
        </w:rPr>
      </w:pPr>
    </w:p>
    <w:p w:rsidR="00E12500" w:rsidRPr="00251ACC" w:rsidRDefault="007D7477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Лица задужена за к</w:t>
      </w:r>
      <w:r w:rsidR="00BC5BCF" w:rsidRPr="00251ACC">
        <w:rPr>
          <w:b/>
          <w:lang w:val="sr-Cyrl-RS"/>
        </w:rPr>
        <w:t>онтакт</w:t>
      </w:r>
      <w:r w:rsidR="00BC5BCF" w:rsidRPr="00251ACC">
        <w:rPr>
          <w:lang w:val="sr-Cyrl-RS"/>
        </w:rPr>
        <w:t xml:space="preserve">: </w:t>
      </w:r>
      <w:r w:rsidR="00F62143" w:rsidRPr="00251ACC">
        <w:rPr>
          <w:lang w:val="sr-Cyrl-RS"/>
        </w:rPr>
        <w:t>Петровић</w:t>
      </w:r>
      <w:r w:rsidRPr="00251ACC">
        <w:rPr>
          <w:lang w:val="sr-Cyrl-RS"/>
        </w:rPr>
        <w:t xml:space="preserve"> Марија, тел. 034/3</w:t>
      </w:r>
      <w:r w:rsidR="009E111E" w:rsidRPr="00251ACC">
        <w:rPr>
          <w:lang w:val="sr-Cyrl-RS"/>
        </w:rPr>
        <w:t>30</w:t>
      </w:r>
      <w:r w:rsidRPr="00251ACC">
        <w:rPr>
          <w:lang w:val="sr-Cyrl-RS"/>
        </w:rPr>
        <w:t>-</w:t>
      </w:r>
      <w:r w:rsidR="009E111E" w:rsidRPr="00251ACC">
        <w:rPr>
          <w:lang w:val="sr-Cyrl-RS"/>
        </w:rPr>
        <w:t>196</w:t>
      </w:r>
      <w:r w:rsidRPr="00251ACC">
        <w:rPr>
          <w:lang w:val="sr-Cyrl-RS"/>
        </w:rPr>
        <w:t xml:space="preserve">, e-mail: </w:t>
      </w:r>
      <w:r w:rsidR="00415C7E">
        <w:fldChar w:fldCharType="begin"/>
      </w:r>
      <w:r w:rsidR="00415C7E">
        <w:instrText xml:space="preserve"> HYPERLINK "mailto:marija.brkic@fink.rs" </w:instrText>
      </w:r>
      <w:r w:rsidR="00415C7E">
        <w:fldChar w:fldCharType="separate"/>
      </w:r>
      <w:r w:rsidRPr="00251ACC">
        <w:rPr>
          <w:rStyle w:val="Hyperlink"/>
          <w:color w:val="auto"/>
          <w:lang w:val="sr-Cyrl-RS"/>
        </w:rPr>
        <w:t>marija.brkic@fink.rs</w:t>
      </w:r>
      <w:r w:rsidR="00415C7E">
        <w:rPr>
          <w:rStyle w:val="Hyperlink"/>
          <w:color w:val="auto"/>
          <w:lang w:val="sr-Cyrl-RS"/>
        </w:rPr>
        <w:fldChar w:fldCharType="end"/>
      </w:r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</w:pPr>
    </w:p>
    <w:p w:rsidR="00805576" w:rsidRPr="00251ACC" w:rsidRDefault="00251ACC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Техничка спецификација за угоститељске услуге и </w:t>
      </w:r>
      <w:r w:rsidR="00805576" w:rsidRPr="00251ACC">
        <w:rPr>
          <w:lang w:val="sr-Cyrl-RS"/>
        </w:rPr>
        <w:t>Образац структуре цене који треба попунити налази се у наставку позива</w:t>
      </w:r>
      <w:r w:rsidR="00E83E71">
        <w:rPr>
          <w:lang w:val="sr-Cyrl-RS"/>
        </w:rPr>
        <w:t xml:space="preserve">. Попуњен образац структуре цене је потребно доставити на </w:t>
      </w:r>
      <w:r w:rsidR="00415C7E">
        <w:rPr>
          <w:lang w:val="sr-Cyrl-RS"/>
        </w:rPr>
        <w:t xml:space="preserve">маил </w:t>
      </w:r>
      <w:r w:rsidR="00E83E71">
        <w:rPr>
          <w:lang w:val="sr-Cyrl-RS"/>
        </w:rPr>
        <w:t>адресу наручиоца до датума отварања понуда.</w:t>
      </w:r>
    </w:p>
    <w:p w:rsidR="00805576" w:rsidRPr="00C76589" w:rsidRDefault="00805576" w:rsidP="00C76589">
      <w:pPr>
        <w:spacing w:line="276" w:lineRule="auto"/>
        <w:jc w:val="both"/>
        <w:rPr>
          <w:lang w:val="sr-Cyrl-RS"/>
        </w:rPr>
        <w:sectPr w:rsidR="00805576" w:rsidRPr="00C76589" w:rsidSect="00E12500">
          <w:headerReference w:type="default" r:id="rId8"/>
          <w:footerReference w:type="default" r:id="rId9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ТЕХНИЧКА СПЕЦИФИКАЦИЈА ПАРТИЈА 2 – ХОТЕЛСКЕ УСЛУГЕ </w:t>
      </w:r>
    </w:p>
    <w:p w:rsidR="003C4F6E" w:rsidRP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 xml:space="preserve">Предмет јавне набавке су услуге - хотелски смештај и пратеће угоститељске услуге у хотелу </w:t>
      </w:r>
      <w:r w:rsidR="00415C7E">
        <w:rPr>
          <w:bCs/>
          <w:lang w:val="sr-Cyrl-RS"/>
        </w:rPr>
        <w:t xml:space="preserve">за време трајања Машинијаде у Будви за 4 ноћења </w:t>
      </w:r>
      <w:r w:rsidRPr="003C4F6E">
        <w:rPr>
          <w:bCs/>
          <w:lang w:val="sr-Cyrl-RS"/>
        </w:rPr>
        <w:t>према спецификацији и карактеристикама садржаним у конкурсној документацији.</w:t>
      </w:r>
      <w:r w:rsidR="00415C7E">
        <w:rPr>
          <w:bCs/>
          <w:lang w:val="sr-Cyrl-RS"/>
        </w:rPr>
        <w:t xml:space="preserve"> Број студената на Машинијади је 60.</w:t>
      </w:r>
    </w:p>
    <w:p w:rsidR="003C4F6E" w:rsidRDefault="003C4F6E" w:rsidP="003C4F6E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725"/>
        <w:gridCol w:w="2564"/>
        <w:gridCol w:w="2378"/>
      </w:tblGrid>
      <w:tr w:rsidR="003C4F6E" w:rsidTr="00C76589">
        <w:trPr>
          <w:trHeight w:val="611"/>
        </w:trPr>
        <w:tc>
          <w:tcPr>
            <w:tcW w:w="2521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</w:t>
            </w:r>
          </w:p>
        </w:tc>
        <w:tc>
          <w:tcPr>
            <w:tcW w:w="2564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Јед.мере</w:t>
            </w:r>
          </w:p>
        </w:tc>
        <w:tc>
          <w:tcPr>
            <w:tcW w:w="2378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Количина</w:t>
            </w:r>
          </w:p>
        </w:tc>
      </w:tr>
      <w:tr w:rsidR="003C4F6E" w:rsidTr="00942E8D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415C7E" w:rsidP="00C765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25" w:type="dxa"/>
          </w:tcPr>
          <w:p w:rsidR="003C4F6E" w:rsidRDefault="003C4F6E" w:rsidP="00415C7E">
            <w:r>
              <w:rPr>
                <w:bCs/>
                <w:lang w:val="sr-Cyrl-RS"/>
              </w:rPr>
              <w:t xml:space="preserve">Смештај у двокреветној соби </w:t>
            </w:r>
            <w:r w:rsidR="00415C7E">
              <w:rPr>
                <w:bCs/>
                <w:lang w:val="sr-Cyrl-RS"/>
              </w:rPr>
              <w:t>пун пансион – 4 ноћења</w:t>
            </w:r>
          </w:p>
        </w:tc>
        <w:tc>
          <w:tcPr>
            <w:tcW w:w="2564" w:type="dxa"/>
            <w:vAlign w:val="center"/>
          </w:tcPr>
          <w:p w:rsidR="003C4F6E" w:rsidRPr="003C4F6E" w:rsidRDefault="00415C7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број соба</w:t>
            </w:r>
          </w:p>
        </w:tc>
        <w:tc>
          <w:tcPr>
            <w:tcW w:w="2378" w:type="dxa"/>
            <w:vAlign w:val="center"/>
          </w:tcPr>
          <w:p w:rsidR="003C4F6E" w:rsidRPr="003C4F6E" w:rsidRDefault="00415C7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</w:t>
            </w:r>
          </w:p>
        </w:tc>
      </w:tr>
    </w:tbl>
    <w:p w:rsidR="003C4F6E" w:rsidRDefault="003C4F6E" w:rsidP="003C4F6E">
      <w:pPr>
        <w:rPr>
          <w:lang w:val="sr-Cyrl-RS" w:eastAsia="en-US"/>
        </w:rPr>
      </w:pPr>
    </w:p>
    <w:p w:rsidR="003C4F6E" w:rsidRDefault="003C4F6E" w:rsidP="003C4F6E">
      <w:pPr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 xml:space="preserve">Напомена: Понуђач је дужан да наведе назив и локацију угоститељског објекта. Локација угоститељског објекта мора да се налази на територији </w:t>
      </w:r>
      <w:r w:rsidR="00C76589">
        <w:rPr>
          <w:lang w:val="sr-Cyrl-RS" w:eastAsia="en-US"/>
        </w:rPr>
        <w:t>Будве</w:t>
      </w:r>
      <w:r w:rsidRPr="003C4F6E">
        <w:rPr>
          <w:lang w:val="sr-Cyrl-RS" w:eastAsia="en-US"/>
        </w:rPr>
        <w:t>.</w:t>
      </w:r>
      <w:r>
        <w:rPr>
          <w:lang w:val="sr-Cyrl-RS" w:eastAsia="en-US"/>
        </w:rPr>
        <w:t xml:space="preserve"> </w:t>
      </w:r>
      <w:r w:rsidRPr="003C4F6E">
        <w:rPr>
          <w:lang w:val="sr-Cyrl-RS" w:eastAsia="en-US"/>
        </w:rPr>
        <w:t>Улазак у хотелску собу најкасније до 14 сати првог дана боравка. Напуштање хотелских соба до 10 ч последњег дана боравка.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Категоризација: минимум 3 звездице.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хотела треба да садрже директну телефонску линију, ТВ, мини бар, кабловску ТВ мрежу, климу, бежични интернет.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Хотел треба да омогући следеће услуге :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Рецепција - 24 часа дневно;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двокреветне (одвојени кревети)</w:t>
      </w:r>
    </w:p>
    <w:p w:rsidR="003C4F6E" w:rsidRPr="00C76589" w:rsidRDefault="003C4F6E" w:rsidP="00C76589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 xml:space="preserve">Минимум </w:t>
      </w:r>
      <w:r w:rsidR="00C76589">
        <w:rPr>
          <w:lang w:val="sr-Cyrl-RS" w:eastAsia="en-US"/>
        </w:rPr>
        <w:t>3</w:t>
      </w:r>
      <w:r w:rsidRPr="003C4F6E">
        <w:rPr>
          <w:lang w:val="sr-Cyrl-RS" w:eastAsia="en-US"/>
        </w:rPr>
        <w:t>0 смештајних јединица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располаже са слободном нон-стоп WI-FI конекцијом;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морају имати клима уређај, телевизор, интернет и сопствено купатило;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Цена услуге смештаја у свом саставу треба да садржи боравишну таксу.</w:t>
      </w:r>
    </w:p>
    <w:p w:rsidR="003C4F6E" w:rsidRPr="00C76589" w:rsidRDefault="00C76589" w:rsidP="00C76589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>
        <w:rPr>
          <w:rFonts w:eastAsiaTheme="minorHAnsi"/>
          <w:bCs/>
          <w:kern w:val="0"/>
          <w:lang w:val="sr-Cyrl-RS" w:eastAsia="en-US"/>
        </w:rPr>
        <w:t xml:space="preserve">Пун пансиион </w:t>
      </w:r>
      <w:r w:rsidR="003C4F6E" w:rsidRPr="003C4F6E">
        <w:rPr>
          <w:rFonts w:eastAsiaTheme="minorHAnsi"/>
          <w:bCs/>
          <w:kern w:val="0"/>
          <w:lang w:val="sr-Cyrl-RS" w:eastAsia="en-US"/>
        </w:rPr>
        <w:t xml:space="preserve">на бази шведског стола са великим избором јела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3C4F6E" w:rsidRPr="003C4F6E" w:rsidRDefault="003C4F6E" w:rsidP="003C4F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</w:p>
    <w:p w:rsidR="00303BE6" w:rsidRPr="005E5A8A" w:rsidRDefault="00303BE6" w:rsidP="00303BE6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t>Образац структуре цене – Хотелске  услуге</w:t>
      </w:r>
    </w:p>
    <w:p w:rsidR="00303BE6" w:rsidRPr="00303BE6" w:rsidRDefault="00303BE6" w:rsidP="00303BE6">
      <w:pPr>
        <w:jc w:val="center"/>
        <w:rPr>
          <w:b/>
          <w:sz w:val="22"/>
          <w:szCs w:val="22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607"/>
        <w:gridCol w:w="2392"/>
        <w:gridCol w:w="2251"/>
        <w:gridCol w:w="2119"/>
        <w:gridCol w:w="2119"/>
      </w:tblGrid>
      <w:tr w:rsidR="00303BE6" w:rsidRP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Ред број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Јед.мере</w:t>
            </w:r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 (4*5)</w:t>
            </w:r>
          </w:p>
        </w:tc>
      </w:tr>
      <w:tr w:rsidR="00C76589" w:rsidTr="00D374B0">
        <w:tc>
          <w:tcPr>
            <w:tcW w:w="2300" w:type="dxa"/>
            <w:shd w:val="clear" w:color="auto" w:fill="DBE5F1" w:themeFill="accent1" w:themeFillTint="33"/>
          </w:tcPr>
          <w:p w:rsidR="00C76589" w:rsidRPr="003C4F6E" w:rsidRDefault="00C76589" w:rsidP="00C765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</w:tcPr>
          <w:p w:rsidR="00C76589" w:rsidRDefault="00C76589" w:rsidP="00C76589">
            <w:r>
              <w:rPr>
                <w:bCs/>
                <w:lang w:val="sr-Cyrl-RS"/>
              </w:rPr>
              <w:t>Смештај у двокреветној соби пун пансион – 4 ноћења</w:t>
            </w:r>
          </w:p>
        </w:tc>
        <w:tc>
          <w:tcPr>
            <w:tcW w:w="2392" w:type="dxa"/>
            <w:vAlign w:val="center"/>
          </w:tcPr>
          <w:p w:rsidR="00C76589" w:rsidRPr="003C4F6E" w:rsidRDefault="00C76589" w:rsidP="00C76589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број соба</w:t>
            </w:r>
          </w:p>
        </w:tc>
        <w:tc>
          <w:tcPr>
            <w:tcW w:w="2251" w:type="dxa"/>
            <w:vAlign w:val="center"/>
          </w:tcPr>
          <w:p w:rsidR="00C76589" w:rsidRPr="003C4F6E" w:rsidRDefault="00C76589" w:rsidP="00C76589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C76589" w:rsidRPr="003C4F6E" w:rsidRDefault="00C76589" w:rsidP="00C76589">
            <w:pPr>
              <w:jc w:val="center"/>
              <w:rPr>
                <w:lang w:val="sr-Cyrl-RS"/>
              </w:rPr>
            </w:pPr>
          </w:p>
        </w:tc>
        <w:tc>
          <w:tcPr>
            <w:tcW w:w="2119" w:type="dxa"/>
          </w:tcPr>
          <w:p w:rsidR="00C76589" w:rsidRDefault="00C76589" w:rsidP="00C76589"/>
        </w:tc>
      </w:tr>
      <w:tr w:rsidR="00303BE6" w:rsidTr="00303BE6">
        <w:trPr>
          <w:trHeight w:val="188"/>
        </w:trPr>
        <w:tc>
          <w:tcPr>
            <w:tcW w:w="11669" w:type="dxa"/>
            <w:gridSpan w:val="5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УКУПНО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</w:tbl>
    <w:p w:rsidR="00303BE6" w:rsidRDefault="00303BE6" w:rsidP="00303BE6">
      <w:pPr>
        <w:rPr>
          <w:lang w:val="sr-Cyrl-RS" w:eastAsia="en-US"/>
        </w:rPr>
      </w:pPr>
    </w:p>
    <w:p w:rsidR="00303BE6" w:rsidRDefault="00303BE6" w:rsidP="00303BE6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303BE6" w:rsidRPr="00177744" w:rsidTr="00303BE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3BE6" w:rsidRPr="00177744" w:rsidTr="00303BE6"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03BE6" w:rsidRDefault="00303BE6" w:rsidP="00303BE6">
      <w:pPr>
        <w:suppressAutoHyphens w:val="0"/>
        <w:spacing w:after="200" w:line="276" w:lineRule="auto"/>
      </w:pPr>
    </w:p>
    <w:p w:rsidR="00303BE6" w:rsidRPr="00177744" w:rsidRDefault="00303BE6" w:rsidP="00303BE6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303BE6" w:rsidRPr="00177744" w:rsidRDefault="00303BE6" w:rsidP="00303BE6">
      <w:pPr>
        <w:tabs>
          <w:tab w:val="left" w:pos="516"/>
        </w:tabs>
      </w:pP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303BE6" w:rsidRPr="00177744" w:rsidRDefault="00303BE6" w:rsidP="00303BE6"/>
    <w:p w:rsidR="00303BE6" w:rsidRPr="00177744" w:rsidRDefault="00303BE6" w:rsidP="00303BE6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303BE6" w:rsidRPr="00177744" w:rsidRDefault="00303BE6" w:rsidP="00303BE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303BE6" w:rsidRPr="00177744" w:rsidRDefault="00303BE6" w:rsidP="00303BE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sectPr w:rsidR="00303BE6" w:rsidRPr="00177744" w:rsidSect="002975CD">
      <w:pgSz w:w="15840" w:h="12240" w:orient="landscape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E4" w:rsidRDefault="00A850E4" w:rsidP="003368FB">
      <w:pPr>
        <w:spacing w:line="240" w:lineRule="auto"/>
      </w:pPr>
      <w:r>
        <w:separator/>
      </w:r>
    </w:p>
  </w:endnote>
  <w:endnote w:type="continuationSeparator" w:id="0">
    <w:p w:rsidR="00A850E4" w:rsidRDefault="00A850E4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E" w:rsidRDefault="00415C7E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4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C7E" w:rsidRDefault="00415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E4" w:rsidRDefault="00A850E4" w:rsidP="003368FB">
      <w:pPr>
        <w:spacing w:line="240" w:lineRule="auto"/>
      </w:pPr>
      <w:r>
        <w:separator/>
      </w:r>
    </w:p>
  </w:footnote>
  <w:footnote w:type="continuationSeparator" w:id="0">
    <w:p w:rsidR="00A850E4" w:rsidRDefault="00A850E4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E" w:rsidRDefault="00415C7E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2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83B"/>
    <w:multiLevelType w:val="hybridMultilevel"/>
    <w:tmpl w:val="A83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E55"/>
    <w:multiLevelType w:val="hybridMultilevel"/>
    <w:tmpl w:val="9C46C3B0"/>
    <w:lvl w:ilvl="0" w:tplc="B198B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CEC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CF"/>
    <w:rsid w:val="00026231"/>
    <w:rsid w:val="0002692F"/>
    <w:rsid w:val="00076112"/>
    <w:rsid w:val="0008144F"/>
    <w:rsid w:val="000B1EE7"/>
    <w:rsid w:val="000B50B2"/>
    <w:rsid w:val="000F397A"/>
    <w:rsid w:val="001241A1"/>
    <w:rsid w:val="00173D4C"/>
    <w:rsid w:val="001819D7"/>
    <w:rsid w:val="001A717B"/>
    <w:rsid w:val="001C4495"/>
    <w:rsid w:val="001C7BD2"/>
    <w:rsid w:val="001D0C34"/>
    <w:rsid w:val="00246C60"/>
    <w:rsid w:val="002470F8"/>
    <w:rsid w:val="00251ACC"/>
    <w:rsid w:val="00281216"/>
    <w:rsid w:val="002975CD"/>
    <w:rsid w:val="002D6A74"/>
    <w:rsid w:val="002E2C61"/>
    <w:rsid w:val="00303BE6"/>
    <w:rsid w:val="003368FB"/>
    <w:rsid w:val="003C4F6E"/>
    <w:rsid w:val="00415C7E"/>
    <w:rsid w:val="004354FD"/>
    <w:rsid w:val="0045078D"/>
    <w:rsid w:val="00477B55"/>
    <w:rsid w:val="004A5049"/>
    <w:rsid w:val="00515C40"/>
    <w:rsid w:val="005352AB"/>
    <w:rsid w:val="00535B0E"/>
    <w:rsid w:val="005376FE"/>
    <w:rsid w:val="005574A3"/>
    <w:rsid w:val="00566DA1"/>
    <w:rsid w:val="005C773F"/>
    <w:rsid w:val="005E5A8A"/>
    <w:rsid w:val="00647CE0"/>
    <w:rsid w:val="0067284E"/>
    <w:rsid w:val="006C6B2E"/>
    <w:rsid w:val="006E0729"/>
    <w:rsid w:val="006F57AF"/>
    <w:rsid w:val="0070017C"/>
    <w:rsid w:val="007131D8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2E8D"/>
    <w:rsid w:val="00944F6B"/>
    <w:rsid w:val="009545FD"/>
    <w:rsid w:val="009707F9"/>
    <w:rsid w:val="00972C1D"/>
    <w:rsid w:val="009C48BE"/>
    <w:rsid w:val="009D1D46"/>
    <w:rsid w:val="009E111E"/>
    <w:rsid w:val="00A14834"/>
    <w:rsid w:val="00A155E8"/>
    <w:rsid w:val="00A63F47"/>
    <w:rsid w:val="00A850E4"/>
    <w:rsid w:val="00BC5BCF"/>
    <w:rsid w:val="00C445DA"/>
    <w:rsid w:val="00C654B6"/>
    <w:rsid w:val="00C76589"/>
    <w:rsid w:val="00C90935"/>
    <w:rsid w:val="00CA6AAB"/>
    <w:rsid w:val="00CD7E4B"/>
    <w:rsid w:val="00D42BE2"/>
    <w:rsid w:val="00D51554"/>
    <w:rsid w:val="00D93147"/>
    <w:rsid w:val="00DA14BD"/>
    <w:rsid w:val="00DD2B88"/>
    <w:rsid w:val="00E12500"/>
    <w:rsid w:val="00E34C58"/>
    <w:rsid w:val="00E417D5"/>
    <w:rsid w:val="00E83E71"/>
    <w:rsid w:val="00E922FC"/>
    <w:rsid w:val="00F202B7"/>
    <w:rsid w:val="00F62143"/>
    <w:rsid w:val="00F74D74"/>
    <w:rsid w:val="00F804BB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B0C91-1F63-40E2-9396-A7BB844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E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25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2">
    <w:name w:val="Light List2"/>
    <w:basedOn w:val="TableNormal"/>
    <w:uiPriority w:val="61"/>
    <w:rsid w:val="00942E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54A6-93FA-4DFB-96C9-48B6D6E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Marija Petrovic</cp:lastModifiedBy>
  <cp:revision>39</cp:revision>
  <cp:lastPrinted>2019-08-09T08:31:00Z</cp:lastPrinted>
  <dcterms:created xsi:type="dcterms:W3CDTF">2015-06-02T07:19:00Z</dcterms:created>
  <dcterms:modified xsi:type="dcterms:W3CDTF">2023-05-03T10:42:00Z</dcterms:modified>
</cp:coreProperties>
</file>