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5DB" w:rsidRPr="000F6668" w:rsidRDefault="004C45DB" w:rsidP="004C45DB">
      <w:pPr>
        <w:rPr>
          <w:rFonts w:asciiTheme="majorHAnsi" w:hAnsiTheme="majorHAnsi"/>
          <w:sz w:val="28"/>
          <w:szCs w:val="28"/>
          <w:lang w:val="ru-RU"/>
        </w:rPr>
      </w:pPr>
      <w:r w:rsidRPr="000F6668">
        <w:rPr>
          <w:rFonts w:asciiTheme="majorHAnsi" w:hAnsiTheme="majorHAnsi"/>
          <w:b/>
          <w:sz w:val="28"/>
          <w:szCs w:val="28"/>
          <w:lang w:val="sr-Cyrl-CS"/>
        </w:rPr>
        <w:t>Прилог 5.2</w:t>
      </w:r>
      <w:r w:rsidRPr="000F6668">
        <w:rPr>
          <w:rFonts w:asciiTheme="majorHAnsi" w:hAnsiTheme="majorHAnsi"/>
          <w:sz w:val="28"/>
          <w:szCs w:val="28"/>
          <w:lang w:val="sr-Cyrl-CS"/>
        </w:rPr>
        <w:t xml:space="preserve"> Процедуре и поступци који обезбеђују поштовање плана и распореда наставе </w:t>
      </w:r>
    </w:p>
    <w:p w:rsidR="004C45DB" w:rsidRPr="000F6668" w:rsidRDefault="004C45DB" w:rsidP="004C45DB">
      <w:pPr>
        <w:rPr>
          <w:rFonts w:asciiTheme="majorHAnsi" w:hAnsiTheme="majorHAnsi"/>
          <w:sz w:val="28"/>
          <w:szCs w:val="28"/>
          <w:lang w:val="sr-Cyrl-RS"/>
        </w:rPr>
      </w:pPr>
    </w:p>
    <w:p w:rsidR="004C45DB" w:rsidRPr="000F6668" w:rsidRDefault="004C45DB" w:rsidP="004C45DB">
      <w:pPr>
        <w:rPr>
          <w:rFonts w:asciiTheme="majorHAnsi" w:hAnsiTheme="majorHAnsi"/>
          <w:sz w:val="28"/>
          <w:szCs w:val="28"/>
          <w:lang w:val="sr-Cyrl-RS"/>
        </w:rPr>
      </w:pPr>
    </w:p>
    <w:p w:rsidR="004C45DB" w:rsidRPr="000F6668" w:rsidRDefault="004C45DB" w:rsidP="006A51E5">
      <w:pPr>
        <w:jc w:val="both"/>
        <w:rPr>
          <w:rFonts w:asciiTheme="majorHAnsi" w:hAnsiTheme="majorHAnsi"/>
          <w:sz w:val="22"/>
          <w:szCs w:val="22"/>
          <w:lang w:val="sr-Cyrl-RS"/>
        </w:rPr>
      </w:pPr>
      <w:r w:rsidRPr="000F6668">
        <w:rPr>
          <w:rFonts w:asciiTheme="majorHAnsi" w:hAnsiTheme="majorHAnsi"/>
          <w:sz w:val="22"/>
          <w:szCs w:val="22"/>
          <w:lang w:val="sr-Cyrl-RS"/>
        </w:rPr>
        <w:tab/>
      </w:r>
      <w:r w:rsidR="006A51E5" w:rsidRPr="000F6668">
        <w:rPr>
          <w:rFonts w:asciiTheme="majorHAnsi" w:hAnsiTheme="majorHAnsi"/>
          <w:sz w:val="22"/>
          <w:szCs w:val="22"/>
          <w:lang w:val="sr-Cyrl-RS"/>
        </w:rPr>
        <w:t xml:space="preserve">Факултет поседује одговарајуће процедуре и поступке који обезбеђују поштовање плана и распореда наставе. У прилогу су </w:t>
      </w:r>
      <w:r w:rsidR="00132A12" w:rsidRPr="000F6668">
        <w:rPr>
          <w:rFonts w:asciiTheme="majorHAnsi" w:hAnsiTheme="majorHAnsi"/>
          <w:sz w:val="22"/>
          <w:szCs w:val="22"/>
          <w:lang w:val="sr-Cyrl-RS"/>
        </w:rPr>
        <w:t xml:space="preserve">општи </w:t>
      </w:r>
      <w:r w:rsidR="006A51E5" w:rsidRPr="000F6668">
        <w:rPr>
          <w:rFonts w:asciiTheme="majorHAnsi" w:hAnsiTheme="majorHAnsi"/>
          <w:sz w:val="22"/>
          <w:szCs w:val="22"/>
          <w:lang w:val="sr-Cyrl-RS"/>
        </w:rPr>
        <w:t>документи</w:t>
      </w:r>
      <w:r w:rsidR="00132A12" w:rsidRPr="000F6668">
        <w:rPr>
          <w:rFonts w:asciiTheme="majorHAnsi" w:hAnsiTheme="majorHAnsi"/>
          <w:sz w:val="22"/>
          <w:szCs w:val="22"/>
          <w:lang w:val="sr-Cyrl-RS"/>
        </w:rPr>
        <w:t xml:space="preserve"> Факултета</w:t>
      </w:r>
      <w:r w:rsidR="006A51E5" w:rsidRPr="000F6668">
        <w:rPr>
          <w:rFonts w:asciiTheme="majorHAnsi" w:hAnsiTheme="majorHAnsi"/>
          <w:sz w:val="22"/>
          <w:szCs w:val="22"/>
          <w:lang w:val="sr-Cyrl-RS"/>
        </w:rPr>
        <w:t xml:space="preserve"> који </w:t>
      </w:r>
      <w:r w:rsidR="00CA59BB" w:rsidRPr="000F6668">
        <w:rPr>
          <w:rFonts w:asciiTheme="majorHAnsi" w:hAnsiTheme="majorHAnsi"/>
          <w:sz w:val="22"/>
          <w:szCs w:val="22"/>
          <w:lang w:val="sr-Cyrl-RS"/>
        </w:rPr>
        <w:t>садрже обавезу предузимања</w:t>
      </w:r>
      <w:r w:rsidR="006A51E5" w:rsidRPr="000F6668">
        <w:rPr>
          <w:rFonts w:asciiTheme="majorHAnsi" w:hAnsiTheme="majorHAnsi"/>
          <w:sz w:val="22"/>
          <w:szCs w:val="22"/>
          <w:lang w:val="sr-Cyrl-RS"/>
        </w:rPr>
        <w:t xml:space="preserve"> активности у вези поштовањ</w:t>
      </w:r>
      <w:bookmarkStart w:id="0" w:name="_GoBack"/>
      <w:bookmarkEnd w:id="0"/>
      <w:r w:rsidR="006A51E5" w:rsidRPr="000F6668">
        <w:rPr>
          <w:rFonts w:asciiTheme="majorHAnsi" w:hAnsiTheme="majorHAnsi"/>
          <w:sz w:val="22"/>
          <w:szCs w:val="22"/>
          <w:lang w:val="sr-Cyrl-RS"/>
        </w:rPr>
        <w:t>а плана и распореда наставе</w:t>
      </w:r>
      <w:r w:rsidR="00132A12" w:rsidRPr="000F6668">
        <w:rPr>
          <w:rFonts w:asciiTheme="majorHAnsi" w:hAnsiTheme="majorHAnsi"/>
          <w:sz w:val="22"/>
          <w:szCs w:val="22"/>
          <w:lang w:val="sr-Cyrl-RS"/>
        </w:rPr>
        <w:t xml:space="preserve">, као и примери </w:t>
      </w:r>
      <w:r w:rsidR="00CA59BB" w:rsidRPr="000F6668">
        <w:rPr>
          <w:rFonts w:asciiTheme="majorHAnsi" w:hAnsiTheme="majorHAnsi"/>
          <w:sz w:val="22"/>
          <w:szCs w:val="22"/>
          <w:lang w:val="sr-Cyrl-RS"/>
        </w:rPr>
        <w:t xml:space="preserve">одговарајућих </w:t>
      </w:r>
      <w:r w:rsidR="00132A12" w:rsidRPr="000F6668">
        <w:rPr>
          <w:rFonts w:asciiTheme="majorHAnsi" w:hAnsiTheme="majorHAnsi"/>
          <w:sz w:val="22"/>
          <w:szCs w:val="22"/>
          <w:lang w:val="sr-Cyrl-RS"/>
        </w:rPr>
        <w:t>одлука које се односе на школску</w:t>
      </w:r>
      <w:r w:rsidR="006A51E5" w:rsidRPr="000F6668">
        <w:rPr>
          <w:rFonts w:asciiTheme="majorHAnsi" w:hAnsiTheme="majorHAnsi"/>
          <w:sz w:val="22"/>
          <w:szCs w:val="22"/>
          <w:lang w:val="sr-Cyrl-RS"/>
        </w:rPr>
        <w:t xml:space="preserve"> 2014/2015. годин</w:t>
      </w:r>
      <w:r w:rsidR="00132A12" w:rsidRPr="000F6668">
        <w:rPr>
          <w:rFonts w:asciiTheme="majorHAnsi" w:hAnsiTheme="majorHAnsi"/>
          <w:sz w:val="22"/>
          <w:szCs w:val="22"/>
          <w:lang w:val="sr-Cyrl-RS"/>
        </w:rPr>
        <w:t>у</w:t>
      </w:r>
      <w:r w:rsidR="006A51E5" w:rsidRPr="000F6668">
        <w:rPr>
          <w:rFonts w:asciiTheme="majorHAnsi" w:hAnsiTheme="majorHAnsi"/>
          <w:sz w:val="22"/>
          <w:szCs w:val="22"/>
          <w:lang w:val="sr-Cyrl-RS"/>
        </w:rPr>
        <w:t xml:space="preserve">: </w:t>
      </w:r>
    </w:p>
    <w:p w:rsidR="00FB0A75" w:rsidRPr="000F6668" w:rsidRDefault="00FB0A75" w:rsidP="00FB0A75">
      <w:pPr>
        <w:pStyle w:val="ListParagraph"/>
        <w:rPr>
          <w:rFonts w:asciiTheme="majorHAnsi" w:hAnsiTheme="majorHAnsi"/>
          <w:sz w:val="22"/>
          <w:szCs w:val="22"/>
          <w:lang w:val="ru-RU"/>
        </w:rPr>
      </w:pPr>
    </w:p>
    <w:p w:rsidR="004C45DB" w:rsidRPr="000F6668" w:rsidRDefault="000F6668" w:rsidP="00FB0A75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  <w:lang w:val="ru-RU"/>
        </w:rPr>
      </w:pPr>
      <w:hyperlink r:id="rId6" w:history="1">
        <w:r w:rsidR="00FB0A7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 xml:space="preserve">Поступак обезбеђења квалитета наставног процеса </w:t>
        </w:r>
        <w:r w:rsidR="00FB0A75" w:rsidRPr="000F6668">
          <w:rPr>
            <w:rStyle w:val="Hyperlink"/>
            <w:rFonts w:asciiTheme="majorHAnsi" w:hAnsiTheme="majorHAnsi"/>
            <w:sz w:val="22"/>
            <w:szCs w:val="22"/>
            <w:lang w:val="en-US"/>
          </w:rPr>
          <w:t>QP</w:t>
        </w:r>
        <w:r w:rsidR="00FB0A75" w:rsidRPr="000F6668">
          <w:rPr>
            <w:rStyle w:val="Hyperlink"/>
            <w:rFonts w:asciiTheme="majorHAnsi" w:hAnsiTheme="majorHAnsi"/>
            <w:sz w:val="22"/>
            <w:szCs w:val="22"/>
            <w:lang w:val="ru-RU"/>
          </w:rPr>
          <w:t xml:space="preserve"> 5</w:t>
        </w:r>
      </w:hyperlink>
    </w:p>
    <w:p w:rsidR="000150A6" w:rsidRPr="000F6668" w:rsidRDefault="000F6668" w:rsidP="000150A6">
      <w:pPr>
        <w:pStyle w:val="ListParagraph"/>
        <w:numPr>
          <w:ilvl w:val="0"/>
          <w:numId w:val="2"/>
        </w:numPr>
        <w:spacing w:before="240"/>
        <w:rPr>
          <w:rFonts w:asciiTheme="majorHAnsi" w:hAnsiTheme="majorHAnsi"/>
          <w:sz w:val="22"/>
          <w:szCs w:val="22"/>
          <w:lang w:val="ru-RU"/>
        </w:rPr>
      </w:pPr>
      <w:hyperlink r:id="rId7" w:history="1">
        <w:r w:rsidR="000150A6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Статут Факултета инжењерских наука (чланови 42.-43., 160.)</w:t>
        </w:r>
      </w:hyperlink>
    </w:p>
    <w:p w:rsidR="000150A6" w:rsidRPr="000F6668" w:rsidRDefault="000F6668" w:rsidP="000150A6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  <w:lang w:val="ru-RU"/>
        </w:rPr>
      </w:pPr>
      <w:hyperlink r:id="rId8" w:history="1">
        <w:r w:rsidR="000150A6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Правилник о режиму основних и мастер академских студија (чланови 11., 13.-29.)</w:t>
        </w:r>
      </w:hyperlink>
    </w:p>
    <w:p w:rsidR="004C45DB" w:rsidRPr="000F6668" w:rsidRDefault="000F6668" w:rsidP="004C45DB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  <w:lang w:val="ru-RU"/>
        </w:rPr>
      </w:pPr>
      <w:hyperlink r:id="rId9" w:history="1">
        <w:r w:rsidR="004C45DB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Одлука о усвајању Распореда наставних и испитних активн</w:t>
        </w:r>
        <w:r w:rsidR="00FB0A7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ости за</w:t>
        </w:r>
        <w:r w:rsidR="004C45DB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 xml:space="preserve"> школск</w:t>
        </w:r>
        <w:r w:rsidR="00FB0A7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у</w:t>
        </w:r>
        <w:r w:rsidR="004C45DB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 xml:space="preserve"> 2014/2015. г</w:t>
        </w:r>
        <w:r w:rsidR="00FB0A7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одину</w:t>
        </w:r>
      </w:hyperlink>
    </w:p>
    <w:p w:rsidR="004C45DB" w:rsidRPr="000F6668" w:rsidRDefault="000F6668" w:rsidP="004C45DB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  <w:lang w:val="ru-RU"/>
        </w:rPr>
      </w:pPr>
      <w:hyperlink r:id="rId10" w:history="1">
        <w:r w:rsidR="004C45DB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 xml:space="preserve">Распоред </w:t>
        </w:r>
        <w:r w:rsidR="006A51E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часова за школску</w:t>
        </w:r>
        <w:r w:rsidR="004C45DB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 xml:space="preserve"> 2014/2015. </w:t>
        </w:r>
        <w:r w:rsidR="006A51E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годину – Летњи семестар – Основне академске студије</w:t>
        </w:r>
        <w:r w:rsidR="00632A88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 xml:space="preserve"> </w:t>
        </w:r>
        <w:r w:rsidR="006A51E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(</w:t>
        </w:r>
        <w:r w:rsidR="00632A88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доступан на сајту Факултета</w:t>
        </w:r>
        <w:r w:rsidR="006A51E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)</w:t>
        </w:r>
      </w:hyperlink>
    </w:p>
    <w:p w:rsidR="006A51E5" w:rsidRPr="000F6668" w:rsidRDefault="000F6668" w:rsidP="006A51E5">
      <w:pPr>
        <w:pStyle w:val="ListParagraph"/>
        <w:numPr>
          <w:ilvl w:val="0"/>
          <w:numId w:val="2"/>
        </w:numPr>
        <w:rPr>
          <w:rStyle w:val="Hyperlink"/>
          <w:rFonts w:asciiTheme="majorHAnsi" w:hAnsiTheme="majorHAnsi"/>
          <w:color w:val="auto"/>
          <w:sz w:val="22"/>
          <w:szCs w:val="22"/>
          <w:u w:val="none"/>
          <w:lang w:val="ru-RU"/>
        </w:rPr>
      </w:pPr>
      <w:hyperlink r:id="rId11" w:history="1">
        <w:r w:rsidR="006A51E5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Распоред часова за школску 2014/2015. годину – Летњи семестар – Мастер академске студије (доступан на сајту Факултета)</w:t>
        </w:r>
      </w:hyperlink>
    </w:p>
    <w:p w:rsidR="00EB0E4F" w:rsidRPr="000F6668" w:rsidRDefault="000F6668" w:rsidP="006A51E5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  <w:lang w:val="ru-RU"/>
        </w:rPr>
      </w:pPr>
      <w:hyperlink r:id="rId12" w:history="1">
        <w:r w:rsidR="00EB0E4F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План колоквијума на 1. години студија у летњем семестру школске 2014/2015. године (доступан на сајту Факултета)</w:t>
        </w:r>
      </w:hyperlink>
    </w:p>
    <w:p w:rsidR="00EB0E4F" w:rsidRPr="000F6668" w:rsidRDefault="000F6668" w:rsidP="006A51E5">
      <w:pPr>
        <w:pStyle w:val="ListParagraph"/>
        <w:numPr>
          <w:ilvl w:val="0"/>
          <w:numId w:val="2"/>
        </w:numPr>
        <w:rPr>
          <w:rFonts w:asciiTheme="majorHAnsi" w:hAnsiTheme="majorHAnsi"/>
          <w:sz w:val="22"/>
          <w:szCs w:val="22"/>
          <w:lang w:val="ru-RU"/>
        </w:rPr>
      </w:pPr>
      <w:hyperlink r:id="rId13" w:history="1">
        <w:r w:rsidR="00EB0E4F" w:rsidRPr="000F6668">
          <w:rPr>
            <w:rStyle w:val="Hyperlink"/>
            <w:rFonts w:asciiTheme="majorHAnsi" w:hAnsiTheme="majorHAnsi"/>
            <w:sz w:val="22"/>
            <w:szCs w:val="22"/>
            <w:lang w:val="sr-Cyrl-RS"/>
          </w:rPr>
          <w:t>План колоквијума на 2. години студија у летњем семестру школске 2014/2015. године (доступан на сајту Факултета)</w:t>
        </w:r>
      </w:hyperlink>
    </w:p>
    <w:sectPr w:rsidR="00EB0E4F" w:rsidRPr="000F6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3403"/>
    <w:multiLevelType w:val="hybridMultilevel"/>
    <w:tmpl w:val="116CB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5381F"/>
    <w:multiLevelType w:val="hybridMultilevel"/>
    <w:tmpl w:val="A98CC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5DB"/>
    <w:rsid w:val="000150A6"/>
    <w:rsid w:val="000F6668"/>
    <w:rsid w:val="00132A12"/>
    <w:rsid w:val="00170871"/>
    <w:rsid w:val="004C45DB"/>
    <w:rsid w:val="005D7DD4"/>
    <w:rsid w:val="00632A88"/>
    <w:rsid w:val="006A51E5"/>
    <w:rsid w:val="00BF7635"/>
    <w:rsid w:val="00C22517"/>
    <w:rsid w:val="00C5123A"/>
    <w:rsid w:val="00CA59BB"/>
    <w:rsid w:val="00EB0E4F"/>
    <w:rsid w:val="00FB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/>
      <w:jc w:val="both"/>
      <w:outlineLvl w:val="0"/>
    </w:pPr>
    <w:rPr>
      <w:rFonts w:ascii="Cambria" w:hAnsi="Cambria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/>
      <w:jc w:val="both"/>
      <w:outlineLvl w:val="1"/>
    </w:pPr>
    <w:rPr>
      <w:rFonts w:ascii="Cambria" w:hAnsi="Cambria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/>
      <w:jc w:val="both"/>
      <w:outlineLvl w:val="2"/>
    </w:pPr>
    <w:rPr>
      <w:rFonts w:ascii="Cambria" w:hAnsi="Cambria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4C45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51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5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/>
      <w:jc w:val="both"/>
      <w:outlineLvl w:val="0"/>
    </w:pPr>
    <w:rPr>
      <w:rFonts w:ascii="Cambria" w:hAnsi="Cambria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/>
      <w:jc w:val="both"/>
      <w:outlineLvl w:val="1"/>
    </w:pPr>
    <w:rPr>
      <w:rFonts w:ascii="Cambria" w:hAnsi="Cambria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/>
      <w:jc w:val="both"/>
      <w:outlineLvl w:val="2"/>
    </w:pPr>
    <w:rPr>
      <w:rFonts w:ascii="Cambria" w:hAnsi="Cambria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4C45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51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ilog%205.2C%20Pravilnik%20o%20rezimu%20osnovnih%20i%20master%20akademskih%20studija.pdf" TargetMode="External"/><Relationship Id="rId13" Type="http://schemas.openxmlformats.org/officeDocument/2006/relationships/hyperlink" Target="Prilog%205.2H%20Plan%20Kolokvijuma%20IV%20semestar%202014-15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Prilog%205.2B%20Statut%20FINa.pdf" TargetMode="External"/><Relationship Id="rId12" Type="http://schemas.openxmlformats.org/officeDocument/2006/relationships/hyperlink" Target="Prilog%205.2G%20Plan%20Kolokvijuma%20II%20semestar%202014-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%205.2A%20QP5.doc" TargetMode="External"/><Relationship Id="rId11" Type="http://schemas.openxmlformats.org/officeDocument/2006/relationships/hyperlink" Target="Prilog%205.2F%20Raspored%20MASTER%20leto%202014-15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Prilog%205.2E%20Raspored%20OAS%20leto%202014-15.pdf" TargetMode="External"/><Relationship Id="rId4" Type="http://schemas.openxmlformats.org/officeDocument/2006/relationships/settings" Target="settings.xml"/><Relationship Id="rId9" Type="http://schemas.openxmlformats.org/officeDocument/2006/relationships/hyperlink" Target="Prilog%205.2D%20Raspored%20nastavnih%20i%20ispitnih%20aktivnosti%20skolske%202014-2015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7</cp:revision>
  <dcterms:created xsi:type="dcterms:W3CDTF">2015-04-19T20:11:00Z</dcterms:created>
  <dcterms:modified xsi:type="dcterms:W3CDTF">2015-04-26T17:31:00Z</dcterms:modified>
</cp:coreProperties>
</file>