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BEF7" w14:textId="55AA7499" w:rsidR="00D05AD9" w:rsidRPr="009D3B6C" w:rsidRDefault="00D05AD9" w:rsidP="00D05AD9">
      <w:pPr>
        <w:spacing w:line="276" w:lineRule="auto"/>
        <w:jc w:val="both"/>
      </w:pPr>
      <w:r w:rsidRPr="00251ACC">
        <w:rPr>
          <w:lang w:val="sr-Cyrl-RS"/>
        </w:rPr>
        <w:t xml:space="preserve">Датум: </w:t>
      </w:r>
      <w:r w:rsidR="009D3B6C">
        <w:t>20.10.2023.</w:t>
      </w:r>
    </w:p>
    <w:p w14:paraId="2EE2FBD9" w14:textId="77777777" w:rsidR="00D05AD9" w:rsidRPr="00251ACC" w:rsidRDefault="00D05AD9" w:rsidP="00D05AD9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>Број: 01-1/</w:t>
      </w:r>
      <w:r w:rsidR="006E04B8">
        <w:rPr>
          <w:lang w:val="sr-Cyrl-RS"/>
        </w:rPr>
        <w:t>4091</w:t>
      </w:r>
    </w:p>
    <w:p w14:paraId="54E47FE2" w14:textId="77777777" w:rsidR="00D05AD9" w:rsidRPr="00251ACC" w:rsidRDefault="00D05AD9" w:rsidP="00D05AD9">
      <w:pPr>
        <w:spacing w:line="276" w:lineRule="auto"/>
        <w:jc w:val="both"/>
        <w:rPr>
          <w:lang w:val="sr-Cyrl-RS"/>
        </w:rPr>
      </w:pPr>
    </w:p>
    <w:p w14:paraId="5D0AE8F3" w14:textId="6276987E" w:rsidR="00D05AD9" w:rsidRPr="00251ACC" w:rsidRDefault="00D05AD9" w:rsidP="00D05AD9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На основу члана 27., став 1 Закона о јавним набавкама </w:t>
      </w:r>
      <w:r>
        <w:rPr>
          <w:lang w:val="sr-Cyrl-RS"/>
        </w:rPr>
        <w:t xml:space="preserve"> и члана 75. (прилог 7) </w:t>
      </w:r>
      <w:r w:rsidRPr="00251ACC">
        <w:rPr>
          <w:lang w:val="sr-Cyrl-RS"/>
        </w:rPr>
        <w:t xml:space="preserve">на основу кога се одредбе Закона о јавним набавкама не примењују </w:t>
      </w:r>
      <w:r w:rsidRPr="00251ACC">
        <w:rPr>
          <w:rFonts w:eastAsia="TimesNewRomanPSMT"/>
          <w:lang w:val="sr-Cyrl-RS"/>
        </w:rPr>
        <w:t>(„Сл. гласник РС” бр. 91/2019</w:t>
      </w:r>
      <w:r w:rsidRPr="00251ACC">
        <w:rPr>
          <w:lang w:val="sr-Cyrl-RS"/>
        </w:rPr>
        <w:t>), а због обезбеђивања основних начела јавних набавки и закључења уговора,  Факултет инжењерских наука Универзитета у Крагујевцу, дана</w:t>
      </w:r>
      <w:r w:rsidR="006F791E">
        <w:rPr>
          <w:b/>
        </w:rPr>
        <w:t xml:space="preserve"> 20.10.2023</w:t>
      </w:r>
      <w:r w:rsidRPr="00251ACC">
        <w:rPr>
          <w:lang w:val="sr-Cyrl-RS"/>
        </w:rPr>
        <w:t>. објављује:</w:t>
      </w:r>
    </w:p>
    <w:p w14:paraId="0697A90B" w14:textId="77777777" w:rsidR="00D05AD9" w:rsidRPr="00251ACC" w:rsidRDefault="00D05AD9" w:rsidP="00D05AD9">
      <w:pPr>
        <w:spacing w:line="276" w:lineRule="auto"/>
        <w:jc w:val="center"/>
        <w:rPr>
          <w:b/>
          <w:lang w:val="sr-Cyrl-RS"/>
        </w:rPr>
      </w:pPr>
    </w:p>
    <w:p w14:paraId="033CBAA8" w14:textId="77777777" w:rsidR="00D05AD9" w:rsidRPr="00251ACC" w:rsidRDefault="00D05AD9" w:rsidP="00D05AD9">
      <w:pPr>
        <w:spacing w:line="276" w:lineRule="auto"/>
        <w:jc w:val="center"/>
        <w:rPr>
          <w:b/>
          <w:lang w:val="sr-Cyrl-RS"/>
        </w:rPr>
      </w:pPr>
      <w:r w:rsidRPr="00251ACC">
        <w:rPr>
          <w:b/>
          <w:lang w:val="sr-Cyrl-RS"/>
        </w:rPr>
        <w:t>ПОЗИВ ЗА ПОДНОШЕЊЕ ПОНУДА</w:t>
      </w:r>
      <w:r w:rsidR="005461E3">
        <w:rPr>
          <w:b/>
          <w:lang w:val="sr-Cyrl-RS"/>
        </w:rPr>
        <w:t xml:space="preserve"> УСЛУГЕ ОРГАНИЗОВАЊА ПРОСЛАВЕ</w:t>
      </w:r>
    </w:p>
    <w:p w14:paraId="4BD16039" w14:textId="77777777" w:rsidR="00D05AD9" w:rsidRPr="00251ACC" w:rsidRDefault="00D05AD9" w:rsidP="00D05AD9">
      <w:pPr>
        <w:spacing w:line="276" w:lineRule="auto"/>
        <w:jc w:val="both"/>
        <w:rPr>
          <w:b/>
          <w:lang w:val="sr-Cyrl-RS"/>
        </w:rPr>
      </w:pPr>
    </w:p>
    <w:p w14:paraId="3A655675" w14:textId="77777777" w:rsidR="00D05AD9" w:rsidRPr="00251ACC" w:rsidRDefault="00D05AD9" w:rsidP="00D05AD9">
      <w:pPr>
        <w:spacing w:line="276" w:lineRule="auto"/>
        <w:ind w:left="720"/>
        <w:jc w:val="both"/>
        <w:rPr>
          <w:b/>
          <w:lang w:val="sr-Cyrl-RS"/>
        </w:rPr>
      </w:pPr>
    </w:p>
    <w:p w14:paraId="5CB298A0" w14:textId="77777777" w:rsidR="00D05AD9" w:rsidRPr="00251ACC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Назив наручиоца</w:t>
      </w:r>
      <w:r w:rsidRPr="00251ACC">
        <w:rPr>
          <w:lang w:val="sr-Cyrl-RS"/>
        </w:rPr>
        <w:t>: Факултет инжењерских наука Универзитета у Крагујевцу</w:t>
      </w:r>
    </w:p>
    <w:p w14:paraId="4A960EF6" w14:textId="77777777" w:rsidR="00D05AD9" w:rsidRPr="00251ACC" w:rsidRDefault="00D05AD9" w:rsidP="00D05AD9">
      <w:pPr>
        <w:pStyle w:val="ListParagraph"/>
        <w:spacing w:line="276" w:lineRule="auto"/>
        <w:jc w:val="both"/>
        <w:rPr>
          <w:lang w:val="sr-Cyrl-RS"/>
        </w:rPr>
      </w:pPr>
    </w:p>
    <w:p w14:paraId="79C8CF3A" w14:textId="77777777" w:rsidR="00D05AD9" w:rsidRPr="00251ACC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Адреса наручиоца</w:t>
      </w:r>
      <w:r w:rsidRPr="00251ACC">
        <w:rPr>
          <w:lang w:val="sr-Cyrl-RS"/>
        </w:rPr>
        <w:t>: Сестре Јањић бр. 6, 34000 Крагујевац</w:t>
      </w:r>
    </w:p>
    <w:p w14:paraId="27C2D870" w14:textId="77777777" w:rsidR="00D05AD9" w:rsidRPr="00251ACC" w:rsidRDefault="00D05AD9" w:rsidP="00D05AD9">
      <w:pPr>
        <w:spacing w:line="276" w:lineRule="auto"/>
        <w:jc w:val="both"/>
        <w:rPr>
          <w:lang w:val="sr-Cyrl-RS"/>
        </w:rPr>
      </w:pPr>
    </w:p>
    <w:p w14:paraId="78F5F79B" w14:textId="77777777" w:rsidR="00D05AD9" w:rsidRPr="00251ACC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Интернет страница наручиоца</w:t>
      </w:r>
      <w:r w:rsidRPr="00251ACC">
        <w:rPr>
          <w:lang w:val="sr-Cyrl-RS"/>
        </w:rPr>
        <w:t xml:space="preserve">: http://www.fink.rs/ </w:t>
      </w:r>
    </w:p>
    <w:p w14:paraId="0F28FAFC" w14:textId="77777777" w:rsidR="00D05AD9" w:rsidRPr="00251ACC" w:rsidRDefault="00D05AD9" w:rsidP="00D05AD9">
      <w:pPr>
        <w:spacing w:line="276" w:lineRule="auto"/>
        <w:jc w:val="both"/>
        <w:rPr>
          <w:b/>
          <w:lang w:val="sr-Cyrl-RS"/>
        </w:rPr>
      </w:pPr>
    </w:p>
    <w:p w14:paraId="32314AD2" w14:textId="77777777" w:rsidR="00D05AD9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Опис предмета јавне набавке</w:t>
      </w:r>
      <w:r w:rsidRPr="00251ACC">
        <w:rPr>
          <w:lang w:val="sr-Cyrl-RS"/>
        </w:rPr>
        <w:t xml:space="preserve">: Предмет набавке је набавка услуга  </w:t>
      </w:r>
      <w:r w:rsidR="005461E3">
        <w:rPr>
          <w:lang w:val="sr-Cyrl-RS"/>
        </w:rPr>
        <w:t>- услуге организовања прославе</w:t>
      </w:r>
    </w:p>
    <w:p w14:paraId="281039C0" w14:textId="77777777" w:rsidR="005461E3" w:rsidRPr="005461E3" w:rsidRDefault="005461E3" w:rsidP="005461E3">
      <w:pPr>
        <w:pStyle w:val="ListParagraph"/>
        <w:rPr>
          <w:lang w:val="sr-Cyrl-RS"/>
        </w:rPr>
      </w:pPr>
    </w:p>
    <w:p w14:paraId="11843DF7" w14:textId="77777777" w:rsidR="005461E3" w:rsidRPr="00251ACC" w:rsidRDefault="005461E3" w:rsidP="005461E3">
      <w:pPr>
        <w:pStyle w:val="ListParagraph"/>
        <w:spacing w:line="276" w:lineRule="auto"/>
        <w:jc w:val="both"/>
        <w:rPr>
          <w:lang w:val="sr-Cyrl-RS"/>
        </w:rPr>
      </w:pPr>
    </w:p>
    <w:p w14:paraId="1949DD96" w14:textId="00D111AC" w:rsidR="00D05AD9" w:rsidRDefault="005461E3" w:rsidP="00D05AD9">
      <w:pPr>
        <w:pStyle w:val="Default"/>
        <w:spacing w:line="276" w:lineRule="auto"/>
        <w:ind w:firstLine="720"/>
        <w:jc w:val="both"/>
        <w:rPr>
          <w:b/>
          <w:lang w:val="sr-Cyrl-RS"/>
        </w:rPr>
      </w:pPr>
      <w:r w:rsidRPr="005461E3">
        <w:rPr>
          <w:b/>
          <w:lang w:val="sr-Cyrl-RS"/>
        </w:rPr>
        <w:t xml:space="preserve">Напомена – прослава дана Факултета ће бити организована </w:t>
      </w:r>
      <w:r w:rsidR="009D3B6C">
        <w:rPr>
          <w:b/>
        </w:rPr>
        <w:t>0</w:t>
      </w:r>
      <w:r w:rsidRPr="005461E3">
        <w:rPr>
          <w:b/>
          <w:lang w:val="sr-Cyrl-RS"/>
        </w:rPr>
        <w:t>1.12.2023</w:t>
      </w:r>
      <w:r w:rsidR="009D3B6C">
        <w:rPr>
          <w:b/>
        </w:rPr>
        <w:t>.</w:t>
      </w:r>
      <w:r w:rsidRPr="005461E3">
        <w:rPr>
          <w:b/>
          <w:lang w:val="sr-Cyrl-RS"/>
        </w:rPr>
        <w:t xml:space="preserve"> године</w:t>
      </w:r>
    </w:p>
    <w:p w14:paraId="41C68774" w14:textId="77777777" w:rsidR="005461E3" w:rsidRPr="005461E3" w:rsidRDefault="005461E3" w:rsidP="00D05AD9">
      <w:pPr>
        <w:pStyle w:val="Default"/>
        <w:spacing w:line="276" w:lineRule="auto"/>
        <w:ind w:firstLine="720"/>
        <w:jc w:val="both"/>
        <w:rPr>
          <w:b/>
          <w:bCs/>
          <w:lang w:val="sr-Cyrl-RS"/>
        </w:rPr>
      </w:pPr>
    </w:p>
    <w:p w14:paraId="78473D50" w14:textId="77777777" w:rsidR="00D05AD9" w:rsidRPr="00251ACC" w:rsidRDefault="00D05AD9" w:rsidP="00D05AD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ЦПВ: 79954000-6 – Услуге организовања прославе</w:t>
      </w:r>
    </w:p>
    <w:p w14:paraId="60080D89" w14:textId="77777777" w:rsidR="00D05AD9" w:rsidRDefault="00D05AD9" w:rsidP="00D05AD9">
      <w:pPr>
        <w:spacing w:line="276" w:lineRule="auto"/>
        <w:jc w:val="both"/>
        <w:rPr>
          <w:lang w:val="sr-Cyrl-RS"/>
        </w:rPr>
      </w:pPr>
    </w:p>
    <w:p w14:paraId="2FFC3B21" w14:textId="77777777" w:rsidR="00D05AD9" w:rsidRDefault="005461E3" w:rsidP="00D05AD9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D05AD9">
        <w:rPr>
          <w:lang w:val="sr-Cyrl-RS"/>
        </w:rPr>
        <w:t>Процењена вредност набавке је</w:t>
      </w:r>
      <w:r>
        <w:rPr>
          <w:lang w:val="sr-Cyrl-RS"/>
        </w:rPr>
        <w:t xml:space="preserve"> </w:t>
      </w:r>
      <w:r w:rsidR="00D05AD9">
        <w:rPr>
          <w:lang w:val="sr-Cyrl-RS"/>
        </w:rPr>
        <w:t xml:space="preserve"> 800.000,00 динара без ПДВ-а</w:t>
      </w:r>
    </w:p>
    <w:p w14:paraId="7A752C37" w14:textId="77777777" w:rsidR="00D05AD9" w:rsidRPr="00E83E71" w:rsidRDefault="00D05AD9" w:rsidP="00D05AD9">
      <w:pPr>
        <w:spacing w:line="276" w:lineRule="auto"/>
        <w:jc w:val="both"/>
        <w:rPr>
          <w:b/>
          <w:lang w:val="sr-Cyrl-RS"/>
        </w:rPr>
      </w:pPr>
    </w:p>
    <w:p w14:paraId="7C2E21E7" w14:textId="77777777" w:rsidR="00D05AD9" w:rsidRPr="00251ACC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Критеријум за доделу уговора</w:t>
      </w:r>
      <w:r w:rsidRPr="00251ACC">
        <w:rPr>
          <w:lang w:val="sr-Cyrl-RS"/>
        </w:rPr>
        <w:t>: "најнижа понуђена цена"</w:t>
      </w:r>
    </w:p>
    <w:p w14:paraId="10D798BA" w14:textId="77777777" w:rsidR="00D05AD9" w:rsidRPr="00251ACC" w:rsidRDefault="00D05AD9" w:rsidP="00D05AD9">
      <w:pPr>
        <w:spacing w:line="276" w:lineRule="auto"/>
        <w:jc w:val="both"/>
        <w:rPr>
          <w:lang w:val="sr-Cyrl-RS"/>
        </w:rPr>
      </w:pPr>
    </w:p>
    <w:p w14:paraId="3A0ACA26" w14:textId="5C1BB473" w:rsidR="00D05AD9" w:rsidRPr="00251ACC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sr-Cyrl-RS"/>
        </w:rPr>
      </w:pPr>
      <w:r w:rsidRPr="00251ACC">
        <w:rPr>
          <w:b/>
          <w:lang w:val="sr-Cyrl-RS"/>
        </w:rPr>
        <w:t>Начин подношења понуда и рок за подношење понуда</w:t>
      </w:r>
      <w:r w:rsidRPr="00251ACC">
        <w:rPr>
          <w:lang w:val="sr-Cyrl-RS"/>
        </w:rPr>
        <w:t xml:space="preserve">:. Благовременим ће се сматрати све понуде које стигну на адресу наручиоца до </w:t>
      </w:r>
      <w:r w:rsidR="009D3B6C">
        <w:rPr>
          <w:b/>
        </w:rPr>
        <w:t>25</w:t>
      </w:r>
      <w:r w:rsidR="006F791E">
        <w:rPr>
          <w:b/>
          <w:lang w:val="sr-Cyrl-RS"/>
        </w:rPr>
        <w:t xml:space="preserve">.10.2023 </w:t>
      </w:r>
      <w:r w:rsidRPr="00251ACC">
        <w:rPr>
          <w:b/>
          <w:lang w:val="sr-Cyrl-RS"/>
        </w:rPr>
        <w:t xml:space="preserve">године до </w:t>
      </w:r>
      <w:r>
        <w:rPr>
          <w:b/>
          <w:lang w:val="sr-Cyrl-RS"/>
        </w:rPr>
        <w:t>10</w:t>
      </w:r>
      <w:r w:rsidRPr="00251ACC">
        <w:rPr>
          <w:b/>
          <w:lang w:val="sr-Cyrl-RS"/>
        </w:rPr>
        <w:t xml:space="preserve">.00 часова. </w:t>
      </w:r>
    </w:p>
    <w:p w14:paraId="4AF9DE95" w14:textId="77777777" w:rsidR="00D05AD9" w:rsidRPr="00251ACC" w:rsidRDefault="00D05AD9" w:rsidP="00D05AD9">
      <w:pPr>
        <w:pStyle w:val="ListParagraph"/>
        <w:spacing w:line="276" w:lineRule="auto"/>
        <w:jc w:val="both"/>
        <w:rPr>
          <w:lang w:val="sr-Cyrl-RS"/>
        </w:rPr>
      </w:pPr>
    </w:p>
    <w:p w14:paraId="6EDCDE9B" w14:textId="77777777" w:rsidR="00D05AD9" w:rsidRDefault="00D05AD9" w:rsidP="00D05AD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Понуде се подносе на адресу наручиоца у запечаћеној коверти, са назнаком на омотници - </w:t>
      </w:r>
      <w:r w:rsidR="004D2D96">
        <w:rPr>
          <w:b/>
          <w:lang w:val="sr-Cyrl-RS"/>
        </w:rPr>
        <w:t>Понуда за организовање прославе.</w:t>
      </w:r>
      <w:r w:rsidRPr="00251ACC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14:paraId="2A54D067" w14:textId="77777777" w:rsidR="005461E3" w:rsidRPr="005461E3" w:rsidRDefault="005461E3" w:rsidP="005461E3">
      <w:pPr>
        <w:pStyle w:val="ListParagraph"/>
        <w:rPr>
          <w:lang w:val="sr-Cyrl-RS"/>
        </w:rPr>
      </w:pPr>
    </w:p>
    <w:p w14:paraId="12CBCF12" w14:textId="07B2748C" w:rsidR="005461E3" w:rsidRPr="00251ACC" w:rsidRDefault="005461E3" w:rsidP="005461E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Начин, место и време отварања понуда</w:t>
      </w:r>
      <w:r w:rsidRPr="00251ACC">
        <w:rPr>
          <w:lang w:val="sr-Cyrl-RS"/>
        </w:rPr>
        <w:t xml:space="preserve">: Јавно отварање понуда обавиће се </w:t>
      </w:r>
      <w:r w:rsidR="009D3B6C">
        <w:rPr>
          <w:b/>
        </w:rPr>
        <w:t>25</w:t>
      </w:r>
      <w:r w:rsidR="004D2D96">
        <w:rPr>
          <w:b/>
          <w:lang w:val="sr-Cyrl-RS"/>
        </w:rPr>
        <w:t>.10.2023</w:t>
      </w:r>
      <w:r w:rsidR="006F791E">
        <w:rPr>
          <w:b/>
          <w:lang w:val="sr-Cyrl-RS"/>
        </w:rPr>
        <w:t xml:space="preserve">      </w:t>
      </w:r>
      <w:r w:rsidRPr="00251ACC">
        <w:rPr>
          <w:b/>
          <w:lang w:val="sr-Cyrl-RS"/>
        </w:rPr>
        <w:t xml:space="preserve">у </w:t>
      </w:r>
      <w:r>
        <w:rPr>
          <w:b/>
        </w:rPr>
        <w:t>1</w:t>
      </w:r>
      <w:r>
        <w:rPr>
          <w:b/>
          <w:lang w:val="sr-Cyrl-RS"/>
        </w:rPr>
        <w:t>0</w:t>
      </w:r>
      <w:r>
        <w:rPr>
          <w:b/>
        </w:rPr>
        <w:t>.</w:t>
      </w:r>
      <w:r>
        <w:rPr>
          <w:b/>
          <w:lang w:val="sr-Cyrl-RS"/>
        </w:rPr>
        <w:t>05</w:t>
      </w:r>
      <w:r w:rsidRPr="00251ACC">
        <w:rPr>
          <w:b/>
          <w:lang w:val="sr-Cyrl-RS"/>
        </w:rPr>
        <w:t xml:space="preserve"> часова</w:t>
      </w:r>
      <w:r w:rsidRPr="00251ACC">
        <w:rPr>
          <w:lang w:val="sr-Cyrl-RS"/>
        </w:rPr>
        <w:t xml:space="preserve"> у просторијама наручиоца. </w:t>
      </w:r>
    </w:p>
    <w:p w14:paraId="2FD39C3D" w14:textId="77777777" w:rsidR="005461E3" w:rsidRPr="00251ACC" w:rsidRDefault="005461E3" w:rsidP="005461E3">
      <w:pPr>
        <w:spacing w:line="276" w:lineRule="auto"/>
        <w:jc w:val="both"/>
        <w:rPr>
          <w:lang w:val="sr-Cyrl-RS"/>
        </w:rPr>
      </w:pPr>
    </w:p>
    <w:p w14:paraId="641D9A90" w14:textId="77777777" w:rsidR="006F791E" w:rsidRDefault="005461E3" w:rsidP="005461E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4D271A">
        <w:rPr>
          <w:b/>
          <w:lang w:val="sr-Cyrl-RS"/>
        </w:rPr>
        <w:lastRenderedPageBreak/>
        <w:t>Лица задужена за контакт</w:t>
      </w:r>
      <w:r w:rsidRPr="004D271A">
        <w:rPr>
          <w:lang w:val="sr-Cyrl-RS"/>
        </w:rPr>
        <w:t>:</w:t>
      </w:r>
    </w:p>
    <w:p w14:paraId="5EBF6E50" w14:textId="77777777" w:rsidR="006F791E" w:rsidRPr="006F791E" w:rsidRDefault="006F791E" w:rsidP="006F791E">
      <w:pPr>
        <w:pStyle w:val="ListParagraph"/>
        <w:rPr>
          <w:lang w:val="sr-Cyrl-RS"/>
        </w:rPr>
      </w:pPr>
    </w:p>
    <w:p w14:paraId="70F7D165" w14:textId="77777777" w:rsidR="006F791E" w:rsidRDefault="006F791E" w:rsidP="006F791E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</w:t>
      </w:r>
      <w:r>
        <w:t xml:space="preserve"> </w:t>
      </w:r>
      <w:r w:rsidRPr="006F791E">
        <w:rPr>
          <w:lang w:val="sr-Cyrl-RS"/>
        </w:rPr>
        <w:t xml:space="preserve">Милосављевић Милош </w:t>
      </w:r>
    </w:p>
    <w:p w14:paraId="6E2903D4" w14:textId="77777777" w:rsidR="005461E3" w:rsidRDefault="005C46B8" w:rsidP="006F791E">
      <w:pPr>
        <w:spacing w:line="276" w:lineRule="auto"/>
        <w:ind w:firstLine="720"/>
        <w:jc w:val="both"/>
        <w:rPr>
          <w:lang w:val="sr-Cyrl-RS"/>
        </w:rPr>
      </w:pPr>
      <w:r>
        <w:t>тел</w:t>
      </w:r>
      <w:r w:rsidR="006F791E">
        <w:t xml:space="preserve">: </w:t>
      </w:r>
      <w:r>
        <w:rPr>
          <w:lang w:val="sr-Cyrl-RS"/>
        </w:rPr>
        <w:t xml:space="preserve">       </w:t>
      </w:r>
      <w:r w:rsidR="006F791E" w:rsidRPr="006F791E">
        <w:rPr>
          <w:lang w:val="sr-Cyrl-RS"/>
        </w:rPr>
        <w:t>060/7288750</w:t>
      </w:r>
    </w:p>
    <w:p w14:paraId="3684CAD6" w14:textId="215BEB9A" w:rsidR="006F791E" w:rsidRPr="006F791E" w:rsidRDefault="006F791E" w:rsidP="006F791E">
      <w:pPr>
        <w:spacing w:line="276" w:lineRule="auto"/>
        <w:jc w:val="both"/>
      </w:pPr>
      <w:r>
        <w:rPr>
          <w:lang w:val="sr-Cyrl-RS"/>
        </w:rPr>
        <w:tab/>
      </w:r>
      <w:r w:rsidR="005C46B8">
        <w:t>е-маил</w:t>
      </w:r>
      <w:r>
        <w:t>:</w:t>
      </w:r>
      <w:r w:rsidR="005C46B8">
        <w:t xml:space="preserve"> </w:t>
      </w:r>
      <w:r>
        <w:t xml:space="preserve"> </w:t>
      </w:r>
      <w:hyperlink r:id="rId7" w:history="1">
        <w:r w:rsidR="00D86C43" w:rsidRPr="001C70D5">
          <w:rPr>
            <w:rStyle w:val="Hyperlink"/>
          </w:rPr>
          <w:t>milos.milosavljevickg80@gmail.com</w:t>
        </w:r>
      </w:hyperlink>
      <w:r w:rsidR="00D86C43">
        <w:t xml:space="preserve"> </w:t>
      </w:r>
    </w:p>
    <w:p w14:paraId="1F664019" w14:textId="77777777" w:rsidR="005461E3" w:rsidRPr="004D271A" w:rsidRDefault="005461E3" w:rsidP="005461E3">
      <w:pPr>
        <w:pStyle w:val="ListParagraph"/>
        <w:rPr>
          <w:lang w:val="sr-Cyrl-RS"/>
        </w:rPr>
      </w:pPr>
    </w:p>
    <w:p w14:paraId="30B5B615" w14:textId="77777777" w:rsidR="005461E3" w:rsidRPr="004D271A" w:rsidRDefault="005461E3" w:rsidP="005461E3">
      <w:pPr>
        <w:pStyle w:val="ListParagraph"/>
        <w:spacing w:line="276" w:lineRule="auto"/>
        <w:jc w:val="both"/>
        <w:rPr>
          <w:lang w:val="sr-Cyrl-RS"/>
        </w:rPr>
      </w:pPr>
    </w:p>
    <w:p w14:paraId="4617038B" w14:textId="77777777" w:rsidR="005461E3" w:rsidRPr="00251ACC" w:rsidRDefault="005461E3" w:rsidP="005461E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>Техничка спецификација за угоститељске услуге и Образац структуре цене који треба попунити налази се у наставку позива</w:t>
      </w:r>
      <w:r>
        <w:rPr>
          <w:lang w:val="sr-Cyrl-RS"/>
        </w:rPr>
        <w:t>. Попуњен образац структуре цене је потребно доставити на адресу наручиоца до датума отварања понуда.</w:t>
      </w:r>
    </w:p>
    <w:p w14:paraId="7BEFC302" w14:textId="77777777" w:rsidR="005461E3" w:rsidRPr="00251ACC" w:rsidRDefault="005461E3" w:rsidP="005461E3">
      <w:pPr>
        <w:pStyle w:val="ListParagraph"/>
        <w:spacing w:line="276" w:lineRule="auto"/>
        <w:jc w:val="both"/>
        <w:rPr>
          <w:lang w:val="sr-Cyrl-RS"/>
        </w:rPr>
      </w:pPr>
    </w:p>
    <w:p w14:paraId="381929ED" w14:textId="77777777" w:rsidR="005461E3" w:rsidRPr="00251ACC" w:rsidRDefault="005461E3" w:rsidP="005461E3">
      <w:pPr>
        <w:pStyle w:val="ListParagraph"/>
        <w:spacing w:line="276" w:lineRule="auto"/>
        <w:jc w:val="both"/>
        <w:rPr>
          <w:lang w:val="sr-Cyrl-RS"/>
        </w:rPr>
        <w:sectPr w:rsidR="005461E3" w:rsidRPr="00251ACC" w:rsidSect="00E12500">
          <w:headerReference w:type="default" r:id="rId8"/>
          <w:footerReference w:type="default" r:id="rId9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14:paraId="386A28DD" w14:textId="77777777" w:rsidR="005461E3" w:rsidRDefault="004D2D96" w:rsidP="005461E3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lastRenderedPageBreak/>
        <w:t xml:space="preserve">ТЕХНИЧКА СПЕЦИФИКАЦИЈА </w:t>
      </w:r>
      <w:r w:rsidR="005461E3">
        <w:rPr>
          <w:b/>
          <w:bCs/>
          <w:lang w:val="sr-Cyrl-RS"/>
        </w:rPr>
        <w:t xml:space="preserve"> – УСЛУГЕ ОРГАНИЗОВАЊЕ ПРОСЛАВЕ</w:t>
      </w:r>
    </w:p>
    <w:p w14:paraId="5BAE6FDD" w14:textId="77777777" w:rsidR="005461E3" w:rsidRDefault="005461E3" w:rsidP="005461E3">
      <w:pPr>
        <w:rPr>
          <w:lang w:val="sr-Cyrl-RS" w:eastAsia="en-US"/>
        </w:rPr>
      </w:pPr>
    </w:p>
    <w:p w14:paraId="4E06595C" w14:textId="77777777" w:rsidR="005461E3" w:rsidRDefault="005461E3" w:rsidP="005461E3">
      <w:pPr>
        <w:rPr>
          <w:lang w:val="sr-Cyrl-RS" w:eastAsia="en-US"/>
        </w:rPr>
      </w:pPr>
    </w:p>
    <w:p w14:paraId="649F03B9" w14:textId="51220EBD" w:rsidR="005461E3" w:rsidRPr="00D86C43" w:rsidRDefault="005461E3" w:rsidP="005461E3">
      <w:pPr>
        <w:rPr>
          <w:b/>
          <w:lang w:val="sr-Latn-RS" w:eastAsia="en-US"/>
        </w:rPr>
      </w:pPr>
      <w:r w:rsidRPr="002E2C61">
        <w:rPr>
          <w:b/>
          <w:lang w:val="sr-Cyrl-RS" w:eastAsia="en-US"/>
        </w:rPr>
        <w:t xml:space="preserve">Табела </w:t>
      </w:r>
      <w:r>
        <w:rPr>
          <w:b/>
          <w:lang w:val="sr-Cyrl-RS" w:eastAsia="en-US"/>
        </w:rPr>
        <w:t>1</w:t>
      </w:r>
      <w:r w:rsidRPr="002E2C61">
        <w:rPr>
          <w:b/>
          <w:lang w:val="sr-Cyrl-RS" w:eastAsia="en-US"/>
        </w:rPr>
        <w:t xml:space="preserve">: </w:t>
      </w:r>
      <w:r w:rsidRPr="00B224F1">
        <w:rPr>
          <w:b/>
          <w:highlight w:val="red"/>
          <w:lang w:val="sr-Cyrl-RS" w:eastAsia="en-US"/>
        </w:rPr>
        <w:t xml:space="preserve">Организовање прославе Термин организовања прославе мора бити </w:t>
      </w:r>
      <w:r w:rsidR="00D86C43">
        <w:rPr>
          <w:b/>
          <w:highlight w:val="red"/>
          <w:lang w:val="sr-Latn-RS" w:eastAsia="en-US"/>
        </w:rPr>
        <w:t>0</w:t>
      </w:r>
      <w:r w:rsidRPr="00B224F1">
        <w:rPr>
          <w:b/>
          <w:highlight w:val="red"/>
          <w:lang w:val="sr-Cyrl-RS" w:eastAsia="en-US"/>
        </w:rPr>
        <w:t>1.12.2023</w:t>
      </w:r>
      <w:r w:rsidR="00D86C43" w:rsidRPr="00D86C43">
        <w:rPr>
          <w:b/>
          <w:highlight w:val="red"/>
          <w:lang w:val="sr-Latn-RS" w:eastAsia="en-US"/>
        </w:rPr>
        <w:t>.</w:t>
      </w:r>
    </w:p>
    <w:p w14:paraId="435EC03A" w14:textId="77777777" w:rsidR="005461E3" w:rsidRDefault="005461E3" w:rsidP="005461E3">
      <w:pPr>
        <w:rPr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7"/>
        <w:gridCol w:w="3317"/>
        <w:gridCol w:w="3318"/>
      </w:tblGrid>
      <w:tr w:rsidR="005461E3" w14:paraId="4880FBB8" w14:textId="77777777" w:rsidTr="003344E7">
        <w:tc>
          <w:tcPr>
            <w:tcW w:w="3396" w:type="dxa"/>
            <w:shd w:val="clear" w:color="auto" w:fill="DEEAF6" w:themeFill="accent1" w:themeFillTint="33"/>
          </w:tcPr>
          <w:p w14:paraId="250139C1" w14:textId="77777777" w:rsidR="005461E3" w:rsidRPr="002E2C61" w:rsidRDefault="005461E3" w:rsidP="003344E7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Назив</w:t>
            </w:r>
          </w:p>
        </w:tc>
        <w:tc>
          <w:tcPr>
            <w:tcW w:w="3396" w:type="dxa"/>
            <w:shd w:val="clear" w:color="auto" w:fill="DEEAF6" w:themeFill="accent1" w:themeFillTint="33"/>
          </w:tcPr>
          <w:p w14:paraId="3B115BEF" w14:textId="77777777" w:rsidR="005461E3" w:rsidRPr="002E2C61" w:rsidRDefault="005461E3" w:rsidP="003344E7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Јединица мере</w:t>
            </w:r>
          </w:p>
        </w:tc>
        <w:tc>
          <w:tcPr>
            <w:tcW w:w="3396" w:type="dxa"/>
            <w:shd w:val="clear" w:color="auto" w:fill="DEEAF6" w:themeFill="accent1" w:themeFillTint="33"/>
          </w:tcPr>
          <w:p w14:paraId="2400A9DB" w14:textId="77777777" w:rsidR="005461E3" w:rsidRPr="002E2C61" w:rsidRDefault="005461E3" w:rsidP="003344E7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Оквирна количина</w:t>
            </w:r>
          </w:p>
        </w:tc>
      </w:tr>
      <w:tr w:rsidR="005461E3" w14:paraId="69A38A20" w14:textId="77777777" w:rsidTr="003344E7">
        <w:tc>
          <w:tcPr>
            <w:tcW w:w="3396" w:type="dxa"/>
          </w:tcPr>
          <w:p w14:paraId="17458E6C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Лепиња</w:t>
            </w:r>
          </w:p>
        </w:tc>
        <w:tc>
          <w:tcPr>
            <w:tcW w:w="3396" w:type="dxa"/>
          </w:tcPr>
          <w:p w14:paraId="62759123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комад</w:t>
            </w:r>
          </w:p>
        </w:tc>
        <w:tc>
          <w:tcPr>
            <w:tcW w:w="3396" w:type="dxa"/>
          </w:tcPr>
          <w:p w14:paraId="534DC5A1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  <w:tr w:rsidR="005461E3" w14:paraId="365A645F" w14:textId="77777777" w:rsidTr="003344E7">
        <w:tc>
          <w:tcPr>
            <w:tcW w:w="3396" w:type="dxa"/>
          </w:tcPr>
          <w:p w14:paraId="41F6E942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Предјело (кулен, говеђе суво месо, свињска печеница, фета сир, качкаваљ, урнебес салата)</w:t>
            </w:r>
          </w:p>
        </w:tc>
        <w:tc>
          <w:tcPr>
            <w:tcW w:w="3396" w:type="dxa"/>
          </w:tcPr>
          <w:p w14:paraId="385F5794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200 гр</w:t>
            </w:r>
          </w:p>
        </w:tc>
        <w:tc>
          <w:tcPr>
            <w:tcW w:w="3396" w:type="dxa"/>
          </w:tcPr>
          <w:p w14:paraId="3CAF90FF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  <w:tr w:rsidR="005461E3" w14:paraId="71D9E77C" w14:textId="77777777" w:rsidTr="003344E7">
        <w:tc>
          <w:tcPr>
            <w:tcW w:w="3396" w:type="dxa"/>
          </w:tcPr>
          <w:p w14:paraId="44C97344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Телећа чорба</w:t>
            </w:r>
          </w:p>
        </w:tc>
        <w:tc>
          <w:tcPr>
            <w:tcW w:w="3396" w:type="dxa"/>
          </w:tcPr>
          <w:p w14:paraId="7F57E0F9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</w:t>
            </w:r>
          </w:p>
        </w:tc>
        <w:tc>
          <w:tcPr>
            <w:tcW w:w="3396" w:type="dxa"/>
          </w:tcPr>
          <w:p w14:paraId="695EB886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  <w:tr w:rsidR="005461E3" w14:paraId="7E1DE26A" w14:textId="77777777" w:rsidTr="003344E7">
        <w:tc>
          <w:tcPr>
            <w:tcW w:w="3396" w:type="dxa"/>
          </w:tcPr>
          <w:p w14:paraId="4F927516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Месо са роштиља (батак на жару, димљени свињски врат, пуњена пљескавица) са прилогом</w:t>
            </w:r>
          </w:p>
        </w:tc>
        <w:tc>
          <w:tcPr>
            <w:tcW w:w="3396" w:type="dxa"/>
          </w:tcPr>
          <w:p w14:paraId="40A29C57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300 гр + прилог</w:t>
            </w:r>
          </w:p>
        </w:tc>
        <w:tc>
          <w:tcPr>
            <w:tcW w:w="3396" w:type="dxa"/>
          </w:tcPr>
          <w:p w14:paraId="39549D28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  <w:tr w:rsidR="005461E3" w14:paraId="3C924D93" w14:textId="77777777" w:rsidTr="003344E7">
        <w:tc>
          <w:tcPr>
            <w:tcW w:w="3396" w:type="dxa"/>
          </w:tcPr>
          <w:p w14:paraId="5B84095F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Сезонска салата</w:t>
            </w:r>
          </w:p>
        </w:tc>
        <w:tc>
          <w:tcPr>
            <w:tcW w:w="3396" w:type="dxa"/>
          </w:tcPr>
          <w:p w14:paraId="73686DEE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 250 гр</w:t>
            </w:r>
          </w:p>
        </w:tc>
        <w:tc>
          <w:tcPr>
            <w:tcW w:w="3396" w:type="dxa"/>
          </w:tcPr>
          <w:p w14:paraId="084E3D4C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  <w:tr w:rsidR="005461E3" w14:paraId="325AE914" w14:textId="77777777" w:rsidTr="003344E7">
        <w:tc>
          <w:tcPr>
            <w:tcW w:w="3396" w:type="dxa"/>
          </w:tcPr>
          <w:p w14:paraId="53B6C662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Дезерт (торта или баклава)</w:t>
            </w:r>
          </w:p>
        </w:tc>
        <w:tc>
          <w:tcPr>
            <w:tcW w:w="3396" w:type="dxa"/>
          </w:tcPr>
          <w:p w14:paraId="25E59078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парче 120 гр или комад</w:t>
            </w:r>
          </w:p>
        </w:tc>
        <w:tc>
          <w:tcPr>
            <w:tcW w:w="3396" w:type="dxa"/>
          </w:tcPr>
          <w:p w14:paraId="72E41086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  <w:tr w:rsidR="005461E3" w14:paraId="025B8614" w14:textId="77777777" w:rsidTr="003344E7">
        <w:tc>
          <w:tcPr>
            <w:tcW w:w="3396" w:type="dxa"/>
          </w:tcPr>
          <w:p w14:paraId="64AC7C9B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Пиће (домаћи програм)</w:t>
            </w:r>
          </w:p>
        </w:tc>
        <w:tc>
          <w:tcPr>
            <w:tcW w:w="3396" w:type="dxa"/>
          </w:tcPr>
          <w:p w14:paraId="48352611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отворен шанк</w:t>
            </w:r>
          </w:p>
        </w:tc>
        <w:tc>
          <w:tcPr>
            <w:tcW w:w="3396" w:type="dxa"/>
          </w:tcPr>
          <w:p w14:paraId="3A023943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</w:tr>
    </w:tbl>
    <w:p w14:paraId="0C334C5D" w14:textId="77777777" w:rsidR="005461E3" w:rsidRDefault="005461E3" w:rsidP="005461E3">
      <w:pPr>
        <w:rPr>
          <w:lang w:val="sr-Cyrl-RS" w:eastAsia="en-US"/>
        </w:rPr>
      </w:pPr>
    </w:p>
    <w:p w14:paraId="27054DE0" w14:textId="77777777" w:rsidR="005461E3" w:rsidRDefault="005461E3" w:rsidP="005461E3">
      <w:pPr>
        <w:rPr>
          <w:lang w:val="sr-Cyrl-RS" w:eastAsia="en-US"/>
        </w:rPr>
      </w:pPr>
      <w:r w:rsidRPr="005E5A8A">
        <w:rPr>
          <w:b/>
          <w:lang w:val="sr-Cyrl-RS" w:eastAsia="en-US"/>
        </w:rPr>
        <w:t>Напомена:</w:t>
      </w:r>
      <w:r>
        <w:rPr>
          <w:b/>
          <w:lang w:val="sr-Cyrl-RS" w:eastAsia="en-US"/>
        </w:rPr>
        <w:t xml:space="preserve"> </w:t>
      </w:r>
      <w:r w:rsidRPr="005E5A8A">
        <w:rPr>
          <w:lang w:val="sr-Cyrl-RS" w:eastAsia="en-US"/>
        </w:rPr>
        <w:t>Дозвољена одступања у грамажи +/- 5%</w:t>
      </w:r>
      <w:r>
        <w:rPr>
          <w:lang w:val="sr-Cyrl-RS" w:eastAsia="en-US"/>
        </w:rPr>
        <w:t>. Прослава ће бити организована уколико епидемиолошка ситуација дозвољава.</w:t>
      </w:r>
    </w:p>
    <w:p w14:paraId="11895CCA" w14:textId="77777777" w:rsidR="005461E3" w:rsidRDefault="005461E3" w:rsidP="005461E3">
      <w:pPr>
        <w:rPr>
          <w:lang w:val="sr-Cyrl-RS" w:eastAsia="en-US"/>
        </w:rPr>
      </w:pPr>
    </w:p>
    <w:p w14:paraId="5DB9747B" w14:textId="77777777" w:rsidR="005461E3" w:rsidRDefault="005461E3" w:rsidP="005461E3">
      <w:pPr>
        <w:rPr>
          <w:lang w:val="sr-Cyrl-RS" w:eastAsia="en-US"/>
        </w:rPr>
      </w:pPr>
      <w:r>
        <w:rPr>
          <w:lang w:val="sr-Cyrl-RS" w:eastAsia="en-US"/>
        </w:rPr>
        <w:t>Место извршења услуге биће адреса угоститељског објекта понуђача са којима је закључен уговор.</w:t>
      </w:r>
    </w:p>
    <w:p w14:paraId="2EB672A1" w14:textId="77777777" w:rsidR="005461E3" w:rsidRDefault="005461E3" w:rsidP="005461E3">
      <w:pPr>
        <w:rPr>
          <w:lang w:val="sr-Cyrl-RS" w:eastAsia="en-US"/>
        </w:rPr>
      </w:pPr>
    </w:p>
    <w:p w14:paraId="285867DA" w14:textId="77777777" w:rsidR="005461E3" w:rsidRPr="005A3D70" w:rsidRDefault="005461E3" w:rsidP="005461E3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Квалитет:</w:t>
      </w:r>
    </w:p>
    <w:p w14:paraId="6294D61B" w14:textId="77777777" w:rsidR="005461E3" w:rsidRPr="0066391A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14:paraId="02E6C7B1" w14:textId="77777777" w:rsidR="005461E3" w:rsidRPr="0066391A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Локација угоститељског објекта мора да се налази на удаљености до </w:t>
      </w:r>
      <w:r>
        <w:t>3</w:t>
      </w:r>
      <w:r w:rsidRPr="0066391A">
        <w:rPr>
          <w:lang w:val="sr-Cyrl-CS"/>
        </w:rPr>
        <w:t xml:space="preserve"> кm од зграде Факултета инжењерских наука.</w:t>
      </w:r>
    </w:p>
    <w:p w14:paraId="6A878AC5" w14:textId="77777777" w:rsidR="005461E3" w:rsidRPr="0066391A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Неопходно је да је понуђач у могућности да организује радне и свечане </w:t>
      </w:r>
      <w:r>
        <w:rPr>
          <w:lang w:val="sr-Cyrl-CS"/>
        </w:rPr>
        <w:t>ручкове и вечере и да располаже простором за организовање прослава</w:t>
      </w:r>
    </w:p>
    <w:p w14:paraId="6CE38D9E" w14:textId="77777777" w:rsidR="005461E3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Радно време: сваког дана, најмање у периоду од 08,00h до 24,00 h.</w:t>
      </w:r>
    </w:p>
    <w:p w14:paraId="70BCE660" w14:textId="77777777" w:rsidR="005461E3" w:rsidRPr="002E2C61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954795">
        <w:rPr>
          <w:lang w:val="sr-Cyrl-CS"/>
        </w:rPr>
        <w:t xml:space="preserve">Ресторан мора бити климатизован; </w:t>
      </w:r>
    </w:p>
    <w:p w14:paraId="19DED402" w14:textId="77777777" w:rsidR="005461E3" w:rsidRPr="002E2C61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>
        <w:rPr>
          <w:lang w:val="sr-Cyrl-CS"/>
        </w:rPr>
        <w:t>Ресторан мора имати паркинг простор</w:t>
      </w:r>
    </w:p>
    <w:p w14:paraId="14781032" w14:textId="77777777" w:rsidR="005461E3" w:rsidRPr="002E2C61" w:rsidRDefault="005461E3" w:rsidP="005461E3"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14:paraId="5D11FBDE" w14:textId="77777777" w:rsidR="005461E3" w:rsidRDefault="005461E3" w:rsidP="005461E3">
      <w:pPr>
        <w:rPr>
          <w:lang w:val="sr-Cyrl-RS" w:eastAsia="en-US"/>
        </w:rPr>
      </w:pPr>
    </w:p>
    <w:p w14:paraId="15F86C36" w14:textId="77777777" w:rsidR="005461E3" w:rsidRDefault="005461E3" w:rsidP="005461E3">
      <w:pPr>
        <w:spacing w:line="276" w:lineRule="auto"/>
        <w:jc w:val="both"/>
        <w:rPr>
          <w:lang w:val="sr-Cyrl-CS"/>
        </w:rPr>
      </w:pPr>
    </w:p>
    <w:p w14:paraId="765C110E" w14:textId="77777777" w:rsidR="005461E3" w:rsidRDefault="005461E3" w:rsidP="005461E3">
      <w:pPr>
        <w:spacing w:line="276" w:lineRule="auto"/>
        <w:jc w:val="both"/>
        <w:rPr>
          <w:lang w:val="sr-Cyrl-CS"/>
        </w:rPr>
      </w:pPr>
    </w:p>
    <w:p w14:paraId="45074431" w14:textId="77777777" w:rsidR="005461E3" w:rsidRDefault="005461E3" w:rsidP="005461E3">
      <w:pPr>
        <w:spacing w:line="276" w:lineRule="auto"/>
        <w:jc w:val="both"/>
        <w:rPr>
          <w:lang w:val="sr-Cyrl-CS"/>
        </w:rPr>
      </w:pPr>
    </w:p>
    <w:p w14:paraId="42CFDA40" w14:textId="77777777" w:rsidR="005461E3" w:rsidRDefault="005461E3" w:rsidP="005461E3">
      <w:pPr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lastRenderedPageBreak/>
        <w:t>С обзиром да се ради о набавци услуга, чију је разноликост немогуће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прецизно дефинисати и предвидети на годишњем нивоу, Наручилац задржава право</w:t>
      </w:r>
      <w:r>
        <w:rPr>
          <w:lang w:val="sr-Cyrl-CS"/>
        </w:rPr>
        <w:t xml:space="preserve"> </w:t>
      </w:r>
      <w:r w:rsidRPr="005A3D70">
        <w:rPr>
          <w:lang w:val="sr-Cyrl-CS"/>
        </w:rPr>
        <w:t>да користи и услуге које нису наведене у спецификацији.</w:t>
      </w:r>
      <w:r>
        <w:rPr>
          <w:lang w:val="sr-Cyrl-CS"/>
        </w:rPr>
        <w:t xml:space="preserve"> </w:t>
      </w:r>
      <w:r w:rsidRPr="005A3D70">
        <w:rPr>
          <w:lang w:val="sr-Cyrl-CS"/>
        </w:rPr>
        <w:t>Такође, с обзиром да се ради о набавци услуга чији је обим немогуће предвидети,</w:t>
      </w:r>
      <w:r>
        <w:rPr>
          <w:lang w:val="sr-Cyrl-CS"/>
        </w:rPr>
        <w:t xml:space="preserve"> </w:t>
      </w:r>
      <w:r w:rsidRPr="005A3D70">
        <w:rPr>
          <w:lang w:val="sr-Cyrl-CS"/>
        </w:rPr>
        <w:t>понуђена цена служи као основ за поређење у оквиру критеријума најниже понуђене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цене. За услуге ће се плаћати цена по важећем ценовнику у тренутку пружања</w:t>
      </w:r>
      <w:r>
        <w:rPr>
          <w:lang w:val="sr-Cyrl-CS"/>
        </w:rPr>
        <w:t xml:space="preserve"> </w:t>
      </w:r>
      <w:r w:rsidRPr="005A3D70">
        <w:rPr>
          <w:lang w:val="sr-Cyrl-CS"/>
        </w:rPr>
        <w:t>услуге.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Пружање угоститељских услуга ће се вршити сукцесивно до висине процењене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вредности предметне набавке предвиђене Планом јавних набавки Наручиоца за</w:t>
      </w:r>
      <w:r>
        <w:rPr>
          <w:lang w:val="sr-Cyrl-CS"/>
        </w:rPr>
        <w:t xml:space="preserve"> </w:t>
      </w:r>
      <w:r w:rsidRPr="005A3D70">
        <w:rPr>
          <w:lang w:val="sr-Cyrl-CS"/>
        </w:rPr>
        <w:t>20</w:t>
      </w:r>
      <w:r>
        <w:rPr>
          <w:lang w:val="sr-Cyrl-CS"/>
        </w:rPr>
        <w:t>23</w:t>
      </w:r>
      <w:r w:rsidRPr="005A3D70">
        <w:rPr>
          <w:lang w:val="sr-Cyrl-CS"/>
        </w:rPr>
        <w:t>. годину, почев од дана потписивања овог Уговора.</w:t>
      </w:r>
      <w:r>
        <w:rPr>
          <w:lang w:val="sr-Cyrl-CS"/>
        </w:rPr>
        <w:t xml:space="preserve"> Број порција у спецификацији дат је оквирно</w:t>
      </w:r>
    </w:p>
    <w:p w14:paraId="3AF4A9E8" w14:textId="77777777" w:rsidR="005461E3" w:rsidRDefault="005461E3" w:rsidP="005461E3">
      <w:pPr>
        <w:suppressAutoHyphens w:val="0"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14:paraId="57270F42" w14:textId="77777777" w:rsidR="005461E3" w:rsidRDefault="005461E3" w:rsidP="005461E3">
      <w:pPr>
        <w:spacing w:line="276" w:lineRule="auto"/>
        <w:jc w:val="both"/>
        <w:rPr>
          <w:b/>
          <w:lang w:val="sr-Cyrl-RS" w:eastAsia="en-US"/>
        </w:rPr>
        <w:sectPr w:rsidR="005461E3" w:rsidSect="009D1D46"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14:paraId="108138FC" w14:textId="77777777" w:rsidR="005461E3" w:rsidRPr="005461E3" w:rsidRDefault="005461E3" w:rsidP="005461E3">
      <w:pPr>
        <w:spacing w:line="276" w:lineRule="auto"/>
        <w:jc w:val="both"/>
        <w:rPr>
          <w:lang w:val="sr-Cyrl-RS"/>
        </w:rPr>
      </w:pPr>
    </w:p>
    <w:p w14:paraId="4873E580" w14:textId="77777777" w:rsidR="005461E3" w:rsidRDefault="005461E3" w:rsidP="005461E3">
      <w:pPr>
        <w:spacing w:line="276" w:lineRule="auto"/>
        <w:jc w:val="both"/>
        <w:rPr>
          <w:lang w:val="sr-Cyrl-RS"/>
        </w:rPr>
      </w:pPr>
    </w:p>
    <w:p w14:paraId="2138440E" w14:textId="77777777" w:rsidR="005461E3" w:rsidRPr="005E5A8A" w:rsidRDefault="004D2D96" w:rsidP="005461E3">
      <w:pPr>
        <w:spacing w:line="276" w:lineRule="auto"/>
        <w:jc w:val="both"/>
        <w:rPr>
          <w:b/>
          <w:lang w:val="sr-Cyrl-RS" w:eastAsia="en-US"/>
        </w:rPr>
      </w:pPr>
      <w:r>
        <w:rPr>
          <w:b/>
          <w:highlight w:val="yellow"/>
          <w:lang w:val="sr-Cyrl-RS" w:eastAsia="en-US"/>
        </w:rPr>
        <w:t xml:space="preserve">Образац структуре </w:t>
      </w:r>
      <w:r w:rsidR="005461E3" w:rsidRPr="00E83E71">
        <w:rPr>
          <w:b/>
          <w:highlight w:val="yellow"/>
          <w:lang w:val="sr-Cyrl-RS" w:eastAsia="en-US"/>
        </w:rPr>
        <w:t xml:space="preserve"> –</w:t>
      </w:r>
      <w:r w:rsidR="005461E3">
        <w:rPr>
          <w:b/>
          <w:highlight w:val="yellow"/>
          <w:lang w:val="sr-Cyrl-RS" w:eastAsia="en-US"/>
        </w:rPr>
        <w:t xml:space="preserve"> </w:t>
      </w:r>
      <w:r w:rsidR="005461E3" w:rsidRPr="00E83E71">
        <w:rPr>
          <w:b/>
          <w:highlight w:val="yellow"/>
          <w:lang w:val="sr-Cyrl-RS" w:eastAsia="en-US"/>
        </w:rPr>
        <w:t>услуге организовања прославе</w:t>
      </w:r>
    </w:p>
    <w:p w14:paraId="06979DCA" w14:textId="77777777" w:rsidR="005461E3" w:rsidRDefault="005461E3" w:rsidP="005461E3">
      <w:pPr>
        <w:rPr>
          <w:lang w:val="sr-Cyrl-RS" w:eastAsia="en-US"/>
        </w:rPr>
      </w:pPr>
    </w:p>
    <w:p w14:paraId="018CF38D" w14:textId="77777777" w:rsidR="005461E3" w:rsidRDefault="005461E3" w:rsidP="005461E3">
      <w:pPr>
        <w:rPr>
          <w:lang w:val="sr-Cyrl-RS" w:eastAsia="en-US"/>
        </w:rPr>
      </w:pPr>
    </w:p>
    <w:p w14:paraId="17681F4C" w14:textId="77777777" w:rsidR="005461E3" w:rsidRPr="004A5049" w:rsidRDefault="005461E3" w:rsidP="005461E3">
      <w:pPr>
        <w:rPr>
          <w:b/>
          <w:lang w:val="sr-Cyrl-RS" w:eastAsia="en-US"/>
        </w:rPr>
      </w:pPr>
      <w:r w:rsidRPr="004A5049">
        <w:rPr>
          <w:b/>
          <w:lang w:val="sr-Cyrl-RS" w:eastAsia="en-US"/>
        </w:rPr>
        <w:t>Табела 3: Организовање прославе</w:t>
      </w:r>
    </w:p>
    <w:p w14:paraId="10856D7F" w14:textId="77777777" w:rsidR="005461E3" w:rsidRDefault="005461E3" w:rsidP="005461E3">
      <w:pPr>
        <w:rPr>
          <w:lang w:val="sr-Cyrl-RS" w:eastAsia="en-US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083"/>
        <w:gridCol w:w="1892"/>
        <w:gridCol w:w="1273"/>
        <w:gridCol w:w="2037"/>
        <w:gridCol w:w="2880"/>
      </w:tblGrid>
      <w:tr w:rsidR="005461E3" w14:paraId="25221270" w14:textId="77777777" w:rsidTr="005461E3">
        <w:tc>
          <w:tcPr>
            <w:tcW w:w="2083" w:type="dxa"/>
            <w:shd w:val="clear" w:color="auto" w:fill="DEEAF6" w:themeFill="accent1" w:themeFillTint="33"/>
          </w:tcPr>
          <w:p w14:paraId="69C659AB" w14:textId="77777777" w:rsidR="005461E3" w:rsidRPr="002E2C61" w:rsidRDefault="005461E3" w:rsidP="003344E7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Назив</w:t>
            </w:r>
          </w:p>
        </w:tc>
        <w:tc>
          <w:tcPr>
            <w:tcW w:w="1892" w:type="dxa"/>
            <w:shd w:val="clear" w:color="auto" w:fill="DEEAF6" w:themeFill="accent1" w:themeFillTint="33"/>
          </w:tcPr>
          <w:p w14:paraId="796AE3F9" w14:textId="77777777" w:rsidR="005461E3" w:rsidRPr="002E2C61" w:rsidRDefault="005461E3" w:rsidP="003344E7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Јединица мере</w:t>
            </w:r>
          </w:p>
        </w:tc>
        <w:tc>
          <w:tcPr>
            <w:tcW w:w="1273" w:type="dxa"/>
            <w:shd w:val="clear" w:color="auto" w:fill="DEEAF6" w:themeFill="accent1" w:themeFillTint="33"/>
          </w:tcPr>
          <w:p w14:paraId="14B8D0BB" w14:textId="77777777" w:rsidR="005461E3" w:rsidRPr="002E2C61" w:rsidRDefault="005461E3" w:rsidP="003344E7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Оквирна количина</w:t>
            </w:r>
          </w:p>
        </w:tc>
        <w:tc>
          <w:tcPr>
            <w:tcW w:w="2037" w:type="dxa"/>
            <w:shd w:val="clear" w:color="auto" w:fill="DEEAF6" w:themeFill="accent1" w:themeFillTint="33"/>
          </w:tcPr>
          <w:p w14:paraId="112C406C" w14:textId="77777777" w:rsidR="005461E3" w:rsidRPr="00303BE6" w:rsidRDefault="005461E3" w:rsidP="003344E7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69B02255" w14:textId="77777777" w:rsidR="005461E3" w:rsidRPr="00303BE6" w:rsidRDefault="005461E3" w:rsidP="003344E7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5461E3" w14:paraId="69CACFB8" w14:textId="77777777" w:rsidTr="005461E3">
        <w:tc>
          <w:tcPr>
            <w:tcW w:w="2083" w:type="dxa"/>
          </w:tcPr>
          <w:p w14:paraId="272A1A52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Лепиња</w:t>
            </w:r>
          </w:p>
        </w:tc>
        <w:tc>
          <w:tcPr>
            <w:tcW w:w="1892" w:type="dxa"/>
          </w:tcPr>
          <w:p w14:paraId="15408825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комад</w:t>
            </w:r>
          </w:p>
        </w:tc>
        <w:tc>
          <w:tcPr>
            <w:tcW w:w="1273" w:type="dxa"/>
          </w:tcPr>
          <w:p w14:paraId="67B3AA70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729E70F6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43608B3F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40A5E7C4" w14:textId="77777777" w:rsidTr="005461E3">
        <w:tc>
          <w:tcPr>
            <w:tcW w:w="2083" w:type="dxa"/>
          </w:tcPr>
          <w:p w14:paraId="248FABE6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Предјело (кулен, говеђе суво месо, свињска печеница, фета сир, качкаваљ, урнебес салата)</w:t>
            </w:r>
          </w:p>
        </w:tc>
        <w:tc>
          <w:tcPr>
            <w:tcW w:w="1892" w:type="dxa"/>
          </w:tcPr>
          <w:p w14:paraId="36C2592B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200 гр</w:t>
            </w:r>
          </w:p>
        </w:tc>
        <w:tc>
          <w:tcPr>
            <w:tcW w:w="1273" w:type="dxa"/>
          </w:tcPr>
          <w:p w14:paraId="58E38C74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2C902312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309E36B7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59DD7B5B" w14:textId="77777777" w:rsidTr="005461E3">
        <w:tc>
          <w:tcPr>
            <w:tcW w:w="2083" w:type="dxa"/>
          </w:tcPr>
          <w:p w14:paraId="37B92983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Телећа чорба</w:t>
            </w:r>
          </w:p>
        </w:tc>
        <w:tc>
          <w:tcPr>
            <w:tcW w:w="1892" w:type="dxa"/>
          </w:tcPr>
          <w:p w14:paraId="557A623A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</w:t>
            </w:r>
          </w:p>
        </w:tc>
        <w:tc>
          <w:tcPr>
            <w:tcW w:w="1273" w:type="dxa"/>
          </w:tcPr>
          <w:p w14:paraId="53172A87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3AC7669E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0EB8929E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258079F9" w14:textId="77777777" w:rsidTr="005461E3">
        <w:tc>
          <w:tcPr>
            <w:tcW w:w="2083" w:type="dxa"/>
          </w:tcPr>
          <w:p w14:paraId="20D24899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Месо са роштиља (батак на жару, димљени свињски врат, пуњена пљескавица) са прилогом</w:t>
            </w:r>
          </w:p>
        </w:tc>
        <w:tc>
          <w:tcPr>
            <w:tcW w:w="1892" w:type="dxa"/>
          </w:tcPr>
          <w:p w14:paraId="3E37D6B2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300 гр + прилог</w:t>
            </w:r>
          </w:p>
        </w:tc>
        <w:tc>
          <w:tcPr>
            <w:tcW w:w="1273" w:type="dxa"/>
          </w:tcPr>
          <w:p w14:paraId="7F343E95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1251C4C1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65F5E5DF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07203CDF" w14:textId="77777777" w:rsidTr="005461E3">
        <w:tc>
          <w:tcPr>
            <w:tcW w:w="2083" w:type="dxa"/>
          </w:tcPr>
          <w:p w14:paraId="4CD416C1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Сезонска салата</w:t>
            </w:r>
          </w:p>
        </w:tc>
        <w:tc>
          <w:tcPr>
            <w:tcW w:w="1892" w:type="dxa"/>
          </w:tcPr>
          <w:p w14:paraId="7F79C705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 250 гр</w:t>
            </w:r>
          </w:p>
        </w:tc>
        <w:tc>
          <w:tcPr>
            <w:tcW w:w="1273" w:type="dxa"/>
          </w:tcPr>
          <w:p w14:paraId="7DD51402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726D810B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6DFC679F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6275273E" w14:textId="77777777" w:rsidTr="005461E3">
        <w:tc>
          <w:tcPr>
            <w:tcW w:w="2083" w:type="dxa"/>
          </w:tcPr>
          <w:p w14:paraId="7ACBDF18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Дезерт (торта или баклава)</w:t>
            </w:r>
          </w:p>
        </w:tc>
        <w:tc>
          <w:tcPr>
            <w:tcW w:w="1892" w:type="dxa"/>
          </w:tcPr>
          <w:p w14:paraId="7A3AA2BC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парче 120 гр или комад</w:t>
            </w:r>
          </w:p>
        </w:tc>
        <w:tc>
          <w:tcPr>
            <w:tcW w:w="1273" w:type="dxa"/>
          </w:tcPr>
          <w:p w14:paraId="368212CA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3717990A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1F56DD51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382364F1" w14:textId="77777777" w:rsidTr="005461E3">
        <w:tc>
          <w:tcPr>
            <w:tcW w:w="2083" w:type="dxa"/>
          </w:tcPr>
          <w:p w14:paraId="436F65EA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Пиће (домаћи програм)</w:t>
            </w:r>
          </w:p>
        </w:tc>
        <w:tc>
          <w:tcPr>
            <w:tcW w:w="1892" w:type="dxa"/>
          </w:tcPr>
          <w:p w14:paraId="23A5AD88" w14:textId="77777777" w:rsidR="005461E3" w:rsidRDefault="005461E3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отворен шанк</w:t>
            </w:r>
          </w:p>
        </w:tc>
        <w:tc>
          <w:tcPr>
            <w:tcW w:w="1273" w:type="dxa"/>
          </w:tcPr>
          <w:p w14:paraId="25FF06FC" w14:textId="77777777" w:rsidR="005461E3" w:rsidRDefault="004D2D96" w:rsidP="003344E7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150</w:t>
            </w:r>
          </w:p>
        </w:tc>
        <w:tc>
          <w:tcPr>
            <w:tcW w:w="2037" w:type="dxa"/>
          </w:tcPr>
          <w:p w14:paraId="43BBBD73" w14:textId="77777777" w:rsidR="005461E3" w:rsidRDefault="005461E3" w:rsidP="003344E7">
            <w:pPr>
              <w:rPr>
                <w:lang w:val="sr-Cyrl-RS" w:eastAsia="en-US"/>
              </w:rPr>
            </w:pPr>
          </w:p>
        </w:tc>
        <w:tc>
          <w:tcPr>
            <w:tcW w:w="2880" w:type="dxa"/>
          </w:tcPr>
          <w:p w14:paraId="145FBEB2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  <w:tr w:rsidR="005461E3" w14:paraId="4191570F" w14:textId="77777777" w:rsidTr="005461E3">
        <w:trPr>
          <w:trHeight w:val="845"/>
        </w:trPr>
        <w:tc>
          <w:tcPr>
            <w:tcW w:w="7285" w:type="dxa"/>
            <w:gridSpan w:val="4"/>
            <w:shd w:val="clear" w:color="auto" w:fill="DEEAF6" w:themeFill="accent1" w:themeFillTint="33"/>
            <w:vAlign w:val="center"/>
          </w:tcPr>
          <w:p w14:paraId="40E446D2" w14:textId="77777777" w:rsidR="005461E3" w:rsidRPr="005461E3" w:rsidRDefault="005461E3" w:rsidP="005461E3">
            <w:pPr>
              <w:jc w:val="center"/>
              <w:rPr>
                <w:b/>
                <w:lang w:val="sr-Cyrl-RS" w:eastAsia="en-US"/>
              </w:rPr>
            </w:pPr>
            <w:r w:rsidRPr="005461E3">
              <w:rPr>
                <w:b/>
                <w:lang w:val="sr-Cyrl-RS" w:eastAsia="en-US"/>
              </w:rPr>
              <w:t>УКУПНО</w:t>
            </w:r>
          </w:p>
        </w:tc>
        <w:tc>
          <w:tcPr>
            <w:tcW w:w="2880" w:type="dxa"/>
            <w:shd w:val="clear" w:color="auto" w:fill="DEEAF6" w:themeFill="accent1" w:themeFillTint="33"/>
          </w:tcPr>
          <w:p w14:paraId="107DB4E4" w14:textId="77777777" w:rsidR="005461E3" w:rsidRDefault="005461E3" w:rsidP="003344E7">
            <w:pPr>
              <w:rPr>
                <w:lang w:val="sr-Cyrl-RS" w:eastAsia="en-US"/>
              </w:rPr>
            </w:pPr>
          </w:p>
        </w:tc>
      </w:tr>
    </w:tbl>
    <w:p w14:paraId="7FC5B82E" w14:textId="77777777" w:rsidR="005461E3" w:rsidRDefault="005461E3" w:rsidP="005461E3">
      <w:pPr>
        <w:rPr>
          <w:lang w:val="sr-Cyrl-RS" w:eastAsia="en-US"/>
        </w:rPr>
      </w:pPr>
    </w:p>
    <w:p w14:paraId="5F37C5D4" w14:textId="77777777" w:rsidR="005461E3" w:rsidRDefault="005461E3" w:rsidP="005461E3">
      <w:pPr>
        <w:suppressAutoHyphens w:val="0"/>
        <w:spacing w:after="200" w:line="276" w:lineRule="auto"/>
        <w:rPr>
          <w:lang w:val="sr-Cyrl-RS" w:eastAsia="en-US"/>
        </w:rPr>
      </w:pPr>
      <w:r>
        <w:rPr>
          <w:lang w:val="sr-Cyrl-RS" w:eastAsia="en-US"/>
        </w:rPr>
        <w:br w:type="page"/>
      </w:r>
    </w:p>
    <w:p w14:paraId="79AD3F70" w14:textId="77777777" w:rsidR="005461E3" w:rsidRDefault="005461E3" w:rsidP="005461E3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5461E3" w:rsidRPr="00177744" w14:paraId="55154E06" w14:textId="77777777" w:rsidTr="003344E7">
        <w:trPr>
          <w:trHeight w:val="277"/>
        </w:trPr>
        <w:tc>
          <w:tcPr>
            <w:tcW w:w="6651" w:type="dxa"/>
            <w:shd w:val="clear" w:color="auto" w:fill="BDD6EE" w:themeFill="accent1" w:themeFillTint="66"/>
            <w:vAlign w:val="center"/>
          </w:tcPr>
          <w:p w14:paraId="06679B56" w14:textId="77777777" w:rsidR="005461E3" w:rsidRDefault="005461E3" w:rsidP="003344E7">
            <w:pPr>
              <w:tabs>
                <w:tab w:val="left" w:pos="2760"/>
              </w:tabs>
              <w:jc w:val="center"/>
              <w:rPr>
                <w:b/>
              </w:rPr>
            </w:pPr>
            <w:r w:rsidRPr="00686384">
              <w:rPr>
                <w:b/>
              </w:rPr>
              <w:t>Укупна вредност понуде изражена у динарима без ПДВ-а:</w:t>
            </w:r>
          </w:p>
          <w:p w14:paraId="4FBED83B" w14:textId="77777777" w:rsidR="005461E3" w:rsidRPr="00686384" w:rsidRDefault="005461E3" w:rsidP="003344E7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677A2CCB" w14:textId="77777777" w:rsidR="005461E3" w:rsidRPr="00177744" w:rsidRDefault="005461E3" w:rsidP="003344E7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461E3" w:rsidRPr="00177744" w14:paraId="7E1DDB69" w14:textId="77777777" w:rsidTr="003344E7">
        <w:tc>
          <w:tcPr>
            <w:tcW w:w="6651" w:type="dxa"/>
            <w:shd w:val="clear" w:color="auto" w:fill="BDD6EE" w:themeFill="accent1" w:themeFillTint="66"/>
            <w:vAlign w:val="center"/>
          </w:tcPr>
          <w:p w14:paraId="2D5F13B3" w14:textId="77777777" w:rsidR="005461E3" w:rsidRDefault="005461E3" w:rsidP="003344E7">
            <w:pPr>
              <w:tabs>
                <w:tab w:val="left" w:pos="2760"/>
              </w:tabs>
              <w:jc w:val="center"/>
              <w:rPr>
                <w:b/>
              </w:rPr>
            </w:pPr>
            <w:r w:rsidRPr="00686384">
              <w:rPr>
                <w:b/>
              </w:rPr>
              <w:t>Укупна вредност понуде изражена у динарима са ПДВ-ом</w:t>
            </w:r>
          </w:p>
          <w:p w14:paraId="33837380" w14:textId="77777777" w:rsidR="005461E3" w:rsidRPr="00686384" w:rsidRDefault="005461E3" w:rsidP="003344E7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14:paraId="54F2B530" w14:textId="77777777" w:rsidR="005461E3" w:rsidRPr="00177744" w:rsidRDefault="005461E3" w:rsidP="003344E7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A773757" w14:textId="77777777" w:rsidR="005461E3" w:rsidRDefault="005461E3" w:rsidP="005461E3">
      <w:pPr>
        <w:suppressAutoHyphens w:val="0"/>
        <w:spacing w:after="200" w:line="276" w:lineRule="auto"/>
      </w:pPr>
    </w:p>
    <w:p w14:paraId="2A92E989" w14:textId="77777777" w:rsidR="005461E3" w:rsidRPr="00177744" w:rsidRDefault="005461E3" w:rsidP="005461E3">
      <w:pPr>
        <w:tabs>
          <w:tab w:val="left" w:pos="516"/>
        </w:tabs>
      </w:pPr>
      <w:r w:rsidRPr="00177744">
        <w:t>Укупна цена мора да садржи све основне елементе:</w:t>
      </w:r>
    </w:p>
    <w:p w14:paraId="6115F9F2" w14:textId="77777777" w:rsidR="005461E3" w:rsidRPr="00177744" w:rsidRDefault="005461E3" w:rsidP="005461E3">
      <w:pPr>
        <w:tabs>
          <w:tab w:val="left" w:pos="516"/>
        </w:tabs>
      </w:pPr>
    </w:p>
    <w:p w14:paraId="23229634" w14:textId="77777777" w:rsidR="005461E3" w:rsidRPr="00177744" w:rsidRDefault="005461E3" w:rsidP="005461E3">
      <w:pPr>
        <w:pStyle w:val="ListParagraph"/>
        <w:numPr>
          <w:ilvl w:val="0"/>
          <w:numId w:val="3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колони </w:t>
      </w:r>
      <w:r>
        <w:rPr>
          <w:lang w:val="sr-Cyrl-RS"/>
        </w:rPr>
        <w:t>5</w:t>
      </w:r>
      <w:r w:rsidRPr="00177744">
        <w:t xml:space="preserve"> – уписати јединичну цену без ПДВ-а.</w:t>
      </w:r>
    </w:p>
    <w:p w14:paraId="00E901D7" w14:textId="77777777" w:rsidR="005461E3" w:rsidRPr="00177744" w:rsidRDefault="005461E3" w:rsidP="005461E3">
      <w:pPr>
        <w:pStyle w:val="ListParagraph"/>
        <w:numPr>
          <w:ilvl w:val="0"/>
          <w:numId w:val="3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колони </w:t>
      </w:r>
      <w:r>
        <w:rPr>
          <w:lang w:val="sr-Cyrl-RS"/>
        </w:rPr>
        <w:t>6</w:t>
      </w:r>
      <w:r w:rsidRPr="00177744">
        <w:t xml:space="preserve"> – уписати укупну цену без ПДВ-а, за процењене количине.</w:t>
      </w:r>
    </w:p>
    <w:p w14:paraId="05F84A62" w14:textId="77777777" w:rsidR="005461E3" w:rsidRPr="00177744" w:rsidRDefault="005461E3" w:rsidP="005461E3"/>
    <w:p w14:paraId="214A4AB3" w14:textId="77777777" w:rsidR="005461E3" w:rsidRPr="00177744" w:rsidRDefault="005461E3" w:rsidP="005461E3">
      <w:pPr>
        <w:tabs>
          <w:tab w:val="left" w:pos="516"/>
        </w:tabs>
        <w:spacing w:line="276" w:lineRule="auto"/>
      </w:pPr>
      <w:r w:rsidRPr="00177744">
        <w:t>У табели 2: Уписати износ укупне вредности понуде са и без ПДВ-а</w:t>
      </w:r>
    </w:p>
    <w:p w14:paraId="3A2083BC" w14:textId="77777777" w:rsidR="005461E3" w:rsidRPr="00177744" w:rsidRDefault="005461E3" w:rsidP="005461E3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14:paraId="0C6AA186" w14:textId="77777777" w:rsidR="005461E3" w:rsidRPr="00177744" w:rsidRDefault="005461E3" w:rsidP="005461E3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14:paraId="71C341C8" w14:textId="77777777" w:rsidR="005461E3" w:rsidRPr="00177744" w:rsidRDefault="001B1B6F" w:rsidP="005461E3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 w:rsidR="005461E3" w:rsidRPr="00177744">
        <w:rPr>
          <w:rFonts w:eastAsia="TimesNewRomanPSMT"/>
          <w:bCs/>
        </w:rPr>
        <w:tab/>
      </w:r>
      <w:r w:rsidR="005461E3" w:rsidRPr="00177744">
        <w:rPr>
          <w:rFonts w:eastAsia="TimesNewRomanPSMT"/>
          <w:bCs/>
        </w:rPr>
        <w:tab/>
      </w:r>
      <w:r w:rsidR="005461E3" w:rsidRPr="00177744">
        <w:rPr>
          <w:rFonts w:eastAsia="TimesNewRomanPSMT"/>
          <w:bCs/>
        </w:rPr>
        <w:tab/>
        <w:t xml:space="preserve">                   </w:t>
      </w:r>
      <w:r w:rsidR="005461E3">
        <w:rPr>
          <w:rFonts w:eastAsia="TimesNewRomanPSMT"/>
          <w:bCs/>
        </w:rPr>
        <w:t xml:space="preserve">                   </w:t>
      </w:r>
      <w:r>
        <w:rPr>
          <w:rFonts w:eastAsia="TimesNewRomanPSMT"/>
          <w:bCs/>
          <w:lang w:val="sr-Cyrl-RS"/>
        </w:rPr>
        <w:t xml:space="preserve">   </w:t>
      </w:r>
      <w:r w:rsidR="005461E3" w:rsidRPr="00177744">
        <w:rPr>
          <w:rFonts w:eastAsia="TimesNewRomanPSMT"/>
          <w:bCs/>
        </w:rPr>
        <w:t>Понуђач</w:t>
      </w:r>
    </w:p>
    <w:p w14:paraId="6ABF8705" w14:textId="77777777" w:rsidR="005461E3" w:rsidRPr="00177744" w:rsidRDefault="005461E3" w:rsidP="005461E3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14:paraId="50ABC446" w14:textId="77777777" w:rsidR="005461E3" w:rsidRDefault="005461E3" w:rsidP="005461E3">
      <w:pPr>
        <w:spacing w:line="276" w:lineRule="auto"/>
        <w:jc w:val="both"/>
        <w:rPr>
          <w:rFonts w:eastAsia="TimesNewRomanPSMT"/>
          <w:bCs/>
        </w:rPr>
      </w:pPr>
      <w:r>
        <w:rPr>
          <w:rFonts w:eastAsia="TimesNewRomanPSMT"/>
          <w:bCs/>
          <w:lang w:val="sr-Cyrl-RS"/>
        </w:rPr>
        <w:t xml:space="preserve">                                                                       </w:t>
      </w:r>
      <w:r w:rsidR="001B1B6F">
        <w:rPr>
          <w:rFonts w:eastAsia="TimesNewRomanPSMT"/>
          <w:bCs/>
          <w:lang w:val="sr-Cyrl-RS"/>
        </w:rPr>
        <w:t xml:space="preserve">                            </w:t>
      </w:r>
      <w:r>
        <w:rPr>
          <w:rFonts w:eastAsia="TimesNewRomanPSMT"/>
          <w:bCs/>
          <w:lang w:val="sr-Cyrl-RS"/>
        </w:rPr>
        <w:t xml:space="preserve">  </w:t>
      </w:r>
      <w:r w:rsidRPr="00177744">
        <w:rPr>
          <w:rFonts w:eastAsia="TimesNewRomanPSMT"/>
          <w:bCs/>
        </w:rPr>
        <w:t>_________________________</w:t>
      </w:r>
    </w:p>
    <w:p w14:paraId="68959C20" w14:textId="77777777" w:rsidR="005461E3" w:rsidRDefault="001B1B6F" w:rsidP="005461E3">
      <w:pPr>
        <w:spacing w:line="276" w:lineRule="auto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У  </w:t>
      </w:r>
      <w:r>
        <w:rPr>
          <w:rFonts w:eastAsia="TimesNewRomanPSMT"/>
          <w:bCs/>
          <w:lang w:val="sr-Cyrl-RS"/>
        </w:rPr>
        <w:t>Крагујевцу</w:t>
      </w:r>
      <w:r w:rsidRPr="00177744">
        <w:rPr>
          <w:rFonts w:eastAsia="TimesNewRomanPSMT"/>
          <w:bCs/>
        </w:rPr>
        <w:t xml:space="preserve">     </w:t>
      </w:r>
    </w:p>
    <w:p w14:paraId="4E936AA4" w14:textId="77777777" w:rsidR="005461E3" w:rsidRPr="00177744" w:rsidRDefault="001B1B6F" w:rsidP="005461E3">
      <w:pPr>
        <w:spacing w:line="276" w:lineRule="auto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>Дана:  20.10.2023</w:t>
      </w:r>
      <w:r w:rsidR="005461E3" w:rsidRPr="00177744">
        <w:rPr>
          <w:rFonts w:eastAsia="TimesNewRomanPSMT"/>
          <w:bCs/>
        </w:rPr>
        <w:tab/>
        <w:t xml:space="preserve">                              </w:t>
      </w:r>
      <w:r w:rsidR="005461E3">
        <w:rPr>
          <w:rFonts w:eastAsia="TimesNewRomanPSMT"/>
          <w:bCs/>
        </w:rPr>
        <w:t xml:space="preserve">                              </w:t>
      </w:r>
    </w:p>
    <w:p w14:paraId="086EE874" w14:textId="77777777" w:rsidR="005461E3" w:rsidRPr="00303BE6" w:rsidRDefault="005461E3" w:rsidP="005461E3">
      <w:pPr>
        <w:rPr>
          <w:lang w:val="sr-Cyrl-RS" w:eastAsia="en-US"/>
        </w:rPr>
      </w:pPr>
    </w:p>
    <w:p w14:paraId="21D85993" w14:textId="77777777" w:rsidR="005461E3" w:rsidRPr="005461E3" w:rsidRDefault="005461E3" w:rsidP="005461E3">
      <w:pPr>
        <w:spacing w:line="276" w:lineRule="auto"/>
        <w:jc w:val="both"/>
        <w:rPr>
          <w:lang w:val="sr-Cyrl-RS"/>
        </w:rPr>
      </w:pPr>
    </w:p>
    <w:p w14:paraId="03F10F0F" w14:textId="77777777" w:rsidR="00172703" w:rsidRDefault="00172703"/>
    <w:sectPr w:rsidR="0017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331A" w14:textId="77777777" w:rsidR="000B470E" w:rsidRDefault="000B470E">
      <w:pPr>
        <w:spacing w:line="240" w:lineRule="auto"/>
      </w:pPr>
      <w:r>
        <w:separator/>
      </w:r>
    </w:p>
  </w:endnote>
  <w:endnote w:type="continuationSeparator" w:id="0">
    <w:p w14:paraId="02DEBA06" w14:textId="77777777" w:rsidR="000B470E" w:rsidRDefault="000B4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8362" w14:textId="77777777" w:rsidR="000F397A" w:rsidRDefault="005461E3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 wp14:anchorId="30006BF6" wp14:editId="1B3A8F8A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30758" w14:textId="77777777" w:rsidR="000F397A" w:rsidRDefault="000B4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8380" w14:textId="77777777" w:rsidR="000B470E" w:rsidRDefault="000B470E">
      <w:pPr>
        <w:spacing w:line="240" w:lineRule="auto"/>
      </w:pPr>
      <w:r>
        <w:separator/>
      </w:r>
    </w:p>
  </w:footnote>
  <w:footnote w:type="continuationSeparator" w:id="0">
    <w:p w14:paraId="346EB0E7" w14:textId="77777777" w:rsidR="000B470E" w:rsidRDefault="000B47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E44F" w14:textId="77777777" w:rsidR="000F397A" w:rsidRDefault="005461E3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 wp14:anchorId="1C4B31E2" wp14:editId="0BC56D57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17BBB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D9"/>
    <w:rsid w:val="000B470E"/>
    <w:rsid w:val="00172703"/>
    <w:rsid w:val="001B1B6F"/>
    <w:rsid w:val="002D0877"/>
    <w:rsid w:val="00492AFC"/>
    <w:rsid w:val="004D2D96"/>
    <w:rsid w:val="005461E3"/>
    <w:rsid w:val="005C46B8"/>
    <w:rsid w:val="006E04B8"/>
    <w:rsid w:val="006F791E"/>
    <w:rsid w:val="00711790"/>
    <w:rsid w:val="009D3B6C"/>
    <w:rsid w:val="00D05AD9"/>
    <w:rsid w:val="00D8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CD38"/>
  <w15:chartTrackingRefBased/>
  <w15:docId w15:val="{35C52887-0F09-4691-A385-577E4F9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D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D05AD9"/>
    <w:pPr>
      <w:ind w:left="720"/>
      <w:contextualSpacing/>
    </w:pPr>
  </w:style>
  <w:style w:type="character" w:customStyle="1" w:styleId="ListParagraphChar">
    <w:name w:val="List Paragraph Char"/>
    <w:aliases w:val="---- Char"/>
    <w:basedOn w:val="DefaultParagraphFont"/>
    <w:link w:val="ListParagraph"/>
    <w:uiPriority w:val="34"/>
    <w:rsid w:val="00D05AD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D0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461E3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1E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61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1E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4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5461E3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character" w:styleId="Hyperlink">
    <w:name w:val="Hyperlink"/>
    <w:basedOn w:val="DefaultParagraphFont"/>
    <w:uiPriority w:val="99"/>
    <w:unhideWhenUsed/>
    <w:rsid w:val="00D86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los.milosavljevickg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Nenad</cp:lastModifiedBy>
  <cp:revision>4</cp:revision>
  <dcterms:created xsi:type="dcterms:W3CDTF">2023-10-20T10:13:00Z</dcterms:created>
  <dcterms:modified xsi:type="dcterms:W3CDTF">2023-10-20T10:53:00Z</dcterms:modified>
</cp:coreProperties>
</file>